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33C8">
      <w:pPr>
        <w:rPr>
          <w:rFonts w:ascii="Times New Roman" w:hAnsi="Times New Roman"/>
          <w:b/>
          <w:sz w:val="32"/>
        </w:rPr>
      </w:pPr>
    </w:p>
    <w:p w14:paraId="368F3AED">
      <w:pPr>
        <w:rPr>
          <w:rFonts w:ascii="Times New Roman" w:hAnsi="Times New Roman"/>
          <w:b/>
          <w:sz w:val="32"/>
        </w:rPr>
      </w:pPr>
    </w:p>
    <w:p w14:paraId="2FD46393">
      <w:pPr>
        <w:rPr>
          <w:rFonts w:ascii="Times New Roman" w:hAnsi="Times New Roman"/>
        </w:rPr>
      </w:pPr>
    </w:p>
    <w:p w14:paraId="01FCD134">
      <w:pPr>
        <w:rPr>
          <w:rFonts w:ascii="Times New Roman" w:hAnsi="Times New Roman"/>
        </w:rPr>
      </w:pPr>
    </w:p>
    <w:p w14:paraId="5AF2605A">
      <w:pPr>
        <w:rPr>
          <w:rFonts w:ascii="Times New Roman" w:hAnsi="Times New Roman"/>
        </w:rPr>
      </w:pPr>
    </w:p>
    <w:p w14:paraId="1F6739D6">
      <w:pPr>
        <w:rPr>
          <w:rFonts w:ascii="Times New Roman" w:hAnsi="Times New Roman"/>
        </w:rPr>
      </w:pPr>
    </w:p>
    <w:p w14:paraId="562288C1">
      <w:pPr>
        <w:jc w:val="center"/>
        <w:rPr>
          <w:rFonts w:ascii="Times New Roman" w:hAnsi="Times New Roman"/>
          <w:b/>
          <w:bCs/>
          <w:sz w:val="84"/>
          <w:szCs w:val="24"/>
        </w:rPr>
      </w:pPr>
    </w:p>
    <w:p w14:paraId="05E52EEE">
      <w:pPr>
        <w:jc w:val="center"/>
        <w:rPr>
          <w:rFonts w:ascii="Times New Roman" w:hAnsi="Times New Roman"/>
          <w:b/>
          <w:bCs/>
          <w:sz w:val="84"/>
          <w:szCs w:val="24"/>
        </w:rPr>
      </w:pPr>
      <w:r>
        <w:rPr>
          <w:rFonts w:ascii="Times New Roman" w:hAnsi="Times New Roman"/>
          <w:b/>
          <w:bCs/>
          <w:sz w:val="84"/>
          <w:szCs w:val="24"/>
        </w:rPr>
        <w:t>询比采购文件</w:t>
      </w:r>
    </w:p>
    <w:p w14:paraId="444619A2">
      <w:pPr>
        <w:spacing w:line="276" w:lineRule="auto"/>
        <w:jc w:val="center"/>
        <w:rPr>
          <w:rFonts w:ascii="Times New Roman" w:hAnsi="Times New Roman"/>
          <w:sz w:val="28"/>
          <w:szCs w:val="28"/>
        </w:rPr>
      </w:pPr>
    </w:p>
    <w:p w14:paraId="50522608">
      <w:pPr>
        <w:spacing w:line="276" w:lineRule="auto"/>
        <w:jc w:val="center"/>
        <w:rPr>
          <w:rFonts w:ascii="Times New Roman" w:hAnsi="Times New Roman"/>
          <w:sz w:val="28"/>
          <w:szCs w:val="28"/>
        </w:rPr>
      </w:pPr>
    </w:p>
    <w:p w14:paraId="7A89D400">
      <w:pPr>
        <w:adjustRightInd w:val="0"/>
        <w:jc w:val="left"/>
        <w:textAlignment w:val="baseline"/>
        <w:rPr>
          <w:rFonts w:ascii="Times New Roman" w:hAnsi="Times New Roman" w:eastAsia="仿宋_GB2312"/>
          <w:b/>
          <w:bCs/>
          <w:sz w:val="32"/>
          <w:szCs w:val="32"/>
        </w:rPr>
      </w:pPr>
      <w:r>
        <w:rPr>
          <w:rFonts w:ascii="Times New Roman" w:hAnsi="Times New Roman"/>
          <w:b/>
          <w:bCs/>
          <w:sz w:val="32"/>
          <w:szCs w:val="32"/>
        </w:rPr>
        <w:t xml:space="preserve">采购编号： </w:t>
      </w:r>
      <w:r>
        <w:rPr>
          <w:rFonts w:ascii="Times New Roman" w:hAnsi="Times New Roman" w:eastAsia="仿宋_GB2312"/>
          <w:sz w:val="32"/>
          <w:szCs w:val="32"/>
        </w:rPr>
        <w:t>FJQJSW20251100</w:t>
      </w:r>
      <w:r>
        <w:rPr>
          <w:rFonts w:hint="eastAsia" w:ascii="Times New Roman" w:hAnsi="Times New Roman" w:eastAsia="仿宋_GB2312"/>
          <w:sz w:val="32"/>
          <w:szCs w:val="32"/>
          <w:lang w:val="en-US" w:eastAsia="zh-CN"/>
        </w:rPr>
        <w:t xml:space="preserve">3 </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0</w:t>
      </w:r>
      <w:r>
        <w:rPr>
          <w:rFonts w:hint="eastAsia" w:ascii="Times New Roman" w:hAnsi="Times New Roman" w:eastAsia="仿宋_GB2312"/>
          <w:sz w:val="32"/>
          <w:szCs w:val="32"/>
        </w:rPr>
        <w:t>2</w:t>
      </w:r>
    </w:p>
    <w:p w14:paraId="1496EEB3">
      <w:pPr>
        <w:adjustRightInd w:val="0"/>
        <w:ind w:left="1606" w:hanging="1606" w:hangingChars="500"/>
        <w:jc w:val="left"/>
        <w:textAlignment w:val="baseline"/>
        <w:rPr>
          <w:rFonts w:ascii="Times New Roman" w:hAnsi="Times New Roman"/>
          <w:b/>
          <w:bCs/>
          <w:sz w:val="32"/>
          <w:szCs w:val="32"/>
        </w:rPr>
      </w:pPr>
      <w:r>
        <w:rPr>
          <w:rFonts w:ascii="Times New Roman" w:hAnsi="Times New Roman"/>
          <w:b/>
          <w:bCs/>
          <w:sz w:val="32"/>
          <w:szCs w:val="32"/>
        </w:rPr>
        <w:t>项目名称：福建钱江水务有限公司融资服务项目</w:t>
      </w:r>
    </w:p>
    <w:p w14:paraId="7D5015AD">
      <w:pPr>
        <w:adjustRightInd w:val="0"/>
        <w:ind w:left="1600" w:leftChars="762"/>
        <w:jc w:val="left"/>
        <w:textAlignment w:val="baseline"/>
        <w:rPr>
          <w:rFonts w:ascii="Times New Roman" w:hAnsi="Times New Roman"/>
          <w:b/>
          <w:bCs/>
          <w:sz w:val="32"/>
          <w:szCs w:val="32"/>
        </w:rPr>
      </w:pPr>
      <w:r>
        <w:rPr>
          <w:rFonts w:ascii="Times New Roman" w:hAnsi="Times New Roman"/>
          <w:b/>
          <w:bCs/>
          <w:sz w:val="32"/>
          <w:szCs w:val="32"/>
        </w:rPr>
        <w:t>-第</w:t>
      </w:r>
      <w:r>
        <w:rPr>
          <w:rFonts w:hint="eastAsia" w:ascii="Times New Roman" w:hAnsi="Times New Roman"/>
          <w:b/>
          <w:bCs/>
          <w:sz w:val="32"/>
          <w:szCs w:val="32"/>
        </w:rPr>
        <w:t>2</w:t>
      </w:r>
      <w:r>
        <w:rPr>
          <w:rFonts w:ascii="Times New Roman" w:hAnsi="Times New Roman"/>
          <w:b/>
          <w:bCs/>
          <w:sz w:val="32"/>
          <w:szCs w:val="32"/>
        </w:rPr>
        <w:t>标包</w:t>
      </w:r>
    </w:p>
    <w:p w14:paraId="045C8716">
      <w:pPr>
        <w:rPr>
          <w:rFonts w:ascii="Times New Roman" w:hAnsi="Times New Roman"/>
        </w:rPr>
      </w:pPr>
    </w:p>
    <w:p w14:paraId="6CB70692">
      <w:pPr>
        <w:rPr>
          <w:rFonts w:ascii="Times New Roman" w:hAnsi="Times New Roman"/>
        </w:rPr>
      </w:pPr>
    </w:p>
    <w:p w14:paraId="4483F5FE">
      <w:pPr>
        <w:rPr>
          <w:rFonts w:ascii="Times New Roman" w:hAnsi="Times New Roman"/>
        </w:rPr>
      </w:pPr>
    </w:p>
    <w:p w14:paraId="1580DAEE">
      <w:pPr>
        <w:rPr>
          <w:rFonts w:ascii="Times New Roman" w:hAnsi="Times New Roman"/>
        </w:rPr>
      </w:pPr>
    </w:p>
    <w:p w14:paraId="0B5BA525">
      <w:pPr>
        <w:rPr>
          <w:rFonts w:ascii="Times New Roman" w:hAnsi="Times New Roman"/>
        </w:rPr>
      </w:pPr>
    </w:p>
    <w:p w14:paraId="55DB3742">
      <w:pPr>
        <w:rPr>
          <w:rFonts w:ascii="Times New Roman" w:hAnsi="Times New Roman"/>
        </w:rPr>
      </w:pPr>
    </w:p>
    <w:p w14:paraId="55E3CF5E">
      <w:pPr>
        <w:rPr>
          <w:rFonts w:ascii="Times New Roman" w:hAnsi="Times New Roman"/>
        </w:rPr>
      </w:pPr>
    </w:p>
    <w:p w14:paraId="1F9734AC">
      <w:pPr>
        <w:rPr>
          <w:rFonts w:ascii="Times New Roman" w:hAnsi="Times New Roman"/>
        </w:rPr>
      </w:pPr>
    </w:p>
    <w:p w14:paraId="06CC7711">
      <w:pPr>
        <w:rPr>
          <w:rFonts w:ascii="Times New Roman" w:hAnsi="Times New Roman"/>
        </w:rPr>
      </w:pPr>
    </w:p>
    <w:p w14:paraId="6D006CB6">
      <w:pPr>
        <w:rPr>
          <w:rFonts w:ascii="Times New Roman" w:hAnsi="Times New Roman"/>
        </w:rPr>
      </w:pPr>
    </w:p>
    <w:p w14:paraId="44578265">
      <w:pPr>
        <w:rPr>
          <w:rFonts w:ascii="Times New Roman" w:hAnsi="Times New Roman"/>
        </w:rPr>
      </w:pPr>
    </w:p>
    <w:p w14:paraId="6C323554">
      <w:pPr>
        <w:jc w:val="center"/>
        <w:rPr>
          <w:rFonts w:ascii="Times New Roman" w:hAnsi="Times New Roman"/>
          <w:sz w:val="36"/>
          <w:szCs w:val="36"/>
          <w:u w:val="single"/>
        </w:rPr>
      </w:pPr>
      <w:r>
        <w:rPr>
          <w:rFonts w:ascii="Times New Roman" w:hAnsi="Times New Roman"/>
          <w:sz w:val="36"/>
          <w:szCs w:val="36"/>
          <w:u w:val="single"/>
        </w:rPr>
        <w:t>采购人：福建钱江水务有限公司</w:t>
      </w:r>
    </w:p>
    <w:p w14:paraId="5D34D325">
      <w:pPr>
        <w:jc w:val="center"/>
        <w:rPr>
          <w:rFonts w:ascii="Times New Roman" w:hAnsi="Times New Roman"/>
          <w:b/>
          <w:sz w:val="32"/>
        </w:rPr>
      </w:pPr>
      <w:r>
        <w:rPr>
          <w:rFonts w:ascii="Times New Roman" w:hAnsi="Times New Roman"/>
          <w:sz w:val="36"/>
          <w:szCs w:val="36"/>
          <w:u w:val="single"/>
        </w:rPr>
        <w:t>2025年</w:t>
      </w:r>
      <w:r>
        <w:rPr>
          <w:rFonts w:hint="eastAsia" w:ascii="Times New Roman" w:hAnsi="Times New Roman"/>
          <w:sz w:val="36"/>
          <w:szCs w:val="36"/>
          <w:u w:val="single"/>
          <w:lang w:val="en-US" w:eastAsia="zh-CN"/>
        </w:rPr>
        <w:t>11</w:t>
      </w:r>
      <w:r>
        <w:rPr>
          <w:rFonts w:ascii="Times New Roman" w:hAnsi="Times New Roman"/>
          <w:sz w:val="36"/>
          <w:szCs w:val="36"/>
          <w:u w:val="single"/>
        </w:rPr>
        <w:t>月</w:t>
      </w:r>
      <w:r>
        <w:rPr>
          <w:rFonts w:hint="eastAsia" w:ascii="Times New Roman" w:hAnsi="Times New Roman"/>
          <w:sz w:val="36"/>
          <w:szCs w:val="36"/>
          <w:u w:val="single"/>
          <w:lang w:val="en-US" w:eastAsia="zh-CN"/>
        </w:rPr>
        <w:t>28</w:t>
      </w:r>
      <w:r>
        <w:rPr>
          <w:rFonts w:ascii="Times New Roman" w:hAnsi="Times New Roman"/>
          <w:sz w:val="36"/>
          <w:szCs w:val="36"/>
          <w:u w:val="single"/>
        </w:rPr>
        <w:t>日</w:t>
      </w:r>
      <w:bookmarkStart w:id="0" w:name="_Toc451955145"/>
      <w:bookmarkStart w:id="1" w:name="_Toc451848861"/>
      <w:bookmarkStart w:id="2" w:name="_Toc454895209"/>
      <w:bookmarkStart w:id="3" w:name="_Toc451442811"/>
      <w:bookmarkStart w:id="4" w:name="_Toc454895279"/>
      <w:bookmarkStart w:id="5" w:name="_Toc196658428"/>
    </w:p>
    <w:bookmarkEnd w:id="0"/>
    <w:bookmarkEnd w:id="1"/>
    <w:bookmarkEnd w:id="2"/>
    <w:bookmarkEnd w:id="3"/>
    <w:bookmarkEnd w:id="4"/>
    <w:p w14:paraId="4E95278E">
      <w:pPr>
        <w:spacing w:line="560" w:lineRule="exact"/>
        <w:ind w:firstLine="640" w:firstLineChars="200"/>
        <w:jc w:val="left"/>
        <w:outlineLvl w:val="1"/>
        <w:rPr>
          <w:rFonts w:ascii="Times New Roman" w:hAnsi="Times New Roman" w:eastAsia="黑体"/>
          <w:bCs/>
          <w:sz w:val="32"/>
          <w:szCs w:val="32"/>
        </w:rPr>
        <w:sectPr>
          <w:headerReference r:id="rId3" w:type="default"/>
          <w:footerReference r:id="rId4" w:type="default"/>
          <w:pgSz w:w="11906" w:h="16838"/>
          <w:pgMar w:top="1440" w:right="1800" w:bottom="1440" w:left="1800" w:header="851" w:footer="992" w:gutter="0"/>
          <w:cols w:space="0" w:num="1"/>
          <w:docGrid w:type="lines" w:linePitch="312" w:charSpace="0"/>
        </w:sectPr>
      </w:pPr>
    </w:p>
    <w:sdt>
      <w:sdtPr>
        <w:rPr>
          <w:rFonts w:ascii="Times New Roman" w:hAnsi="Times New Roman"/>
        </w:rPr>
        <w:id w:val="147458395"/>
        <w15:color w:val="DBDBDB"/>
        <w:docPartObj>
          <w:docPartGallery w:val="Table of Contents"/>
          <w:docPartUnique/>
        </w:docPartObj>
      </w:sdtPr>
      <w:sdtEndPr>
        <w:rPr>
          <w:rFonts w:ascii="Times New Roman" w:hAnsi="Times New Roman"/>
        </w:rPr>
      </w:sdtEndPr>
      <w:sdtContent>
        <w:p w14:paraId="4B1B48C1">
          <w:pPr>
            <w:jc w:val="center"/>
            <w:rPr>
              <w:rFonts w:ascii="Times New Roman" w:hAnsi="Times New Roman"/>
            </w:rPr>
          </w:pPr>
          <w:r>
            <w:rPr>
              <w:rFonts w:ascii="Times New Roman" w:hAnsi="Times New Roman"/>
            </w:rPr>
            <w:t>目录</w:t>
          </w:r>
        </w:p>
        <w:p w14:paraId="59C614C5">
          <w:pPr>
            <w:pStyle w:val="18"/>
            <w:tabs>
              <w:tab w:val="right" w:leader="dot" w:pos="8306"/>
            </w:tabs>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_Toc15308 </w:instrText>
          </w:r>
          <w:r>
            <w:rPr>
              <w:rFonts w:ascii="Times New Roman" w:hAnsi="Times New Roman"/>
            </w:rPr>
            <w:fldChar w:fldCharType="separate"/>
          </w:r>
          <w:r>
            <w:rPr>
              <w:rFonts w:ascii="Times New Roman" w:hAnsi="Times New Roman"/>
            </w:rPr>
            <w:t>第一章  采购公告</w:t>
          </w:r>
          <w:r>
            <w:tab/>
          </w:r>
          <w:r>
            <w:fldChar w:fldCharType="begin"/>
          </w:r>
          <w:r>
            <w:instrText xml:space="preserve"> PAGEREF _Toc15308 \h </w:instrText>
          </w:r>
          <w:r>
            <w:fldChar w:fldCharType="separate"/>
          </w:r>
          <w:r>
            <w:t>2</w:t>
          </w:r>
          <w:r>
            <w:fldChar w:fldCharType="end"/>
          </w:r>
          <w:r>
            <w:rPr>
              <w:rFonts w:ascii="Times New Roman" w:hAnsi="Times New Roman"/>
            </w:rPr>
            <w:fldChar w:fldCharType="end"/>
          </w:r>
        </w:p>
        <w:p w14:paraId="79C51420">
          <w:pPr>
            <w:pStyle w:val="19"/>
            <w:tabs>
              <w:tab w:val="right" w:leader="dot" w:pos="8306"/>
            </w:tabs>
          </w:pPr>
          <w:r>
            <w:rPr>
              <w:rFonts w:ascii="Times New Roman" w:hAnsi="Times New Roman"/>
            </w:rPr>
            <w:fldChar w:fldCharType="begin"/>
          </w:r>
          <w:r>
            <w:rPr>
              <w:rFonts w:ascii="Times New Roman" w:hAnsi="Times New Roman"/>
            </w:rPr>
            <w:instrText xml:space="preserve"> HYPERLINK \l _Toc30419 </w:instrText>
          </w:r>
          <w:r>
            <w:rPr>
              <w:rFonts w:ascii="Times New Roman" w:hAnsi="Times New Roman"/>
            </w:rPr>
            <w:fldChar w:fldCharType="separate"/>
          </w:r>
          <w:r>
            <w:rPr>
              <w:rFonts w:ascii="Times New Roman" w:hAnsi="Times New Roman" w:eastAsia="黑体"/>
              <w:bCs/>
              <w:szCs w:val="32"/>
            </w:rPr>
            <w:t>一、采购条件</w:t>
          </w:r>
          <w:r>
            <w:tab/>
          </w:r>
          <w:r>
            <w:fldChar w:fldCharType="begin"/>
          </w:r>
          <w:r>
            <w:instrText xml:space="preserve"> PAGEREF _Toc30419 \h </w:instrText>
          </w:r>
          <w:r>
            <w:fldChar w:fldCharType="separate"/>
          </w:r>
          <w:r>
            <w:t>2</w:t>
          </w:r>
          <w:r>
            <w:fldChar w:fldCharType="end"/>
          </w:r>
          <w:r>
            <w:rPr>
              <w:rFonts w:ascii="Times New Roman" w:hAnsi="Times New Roman"/>
            </w:rPr>
            <w:fldChar w:fldCharType="end"/>
          </w:r>
        </w:p>
        <w:p w14:paraId="481B0F9A">
          <w:pPr>
            <w:pStyle w:val="19"/>
            <w:tabs>
              <w:tab w:val="right" w:leader="dot" w:pos="8306"/>
            </w:tabs>
          </w:pPr>
          <w:r>
            <w:rPr>
              <w:rFonts w:ascii="Times New Roman" w:hAnsi="Times New Roman"/>
            </w:rPr>
            <w:fldChar w:fldCharType="begin"/>
          </w:r>
          <w:r>
            <w:rPr>
              <w:rFonts w:ascii="Times New Roman" w:hAnsi="Times New Roman"/>
            </w:rPr>
            <w:instrText xml:space="preserve"> HYPERLINK \l _Toc29768 </w:instrText>
          </w:r>
          <w:r>
            <w:rPr>
              <w:rFonts w:ascii="Times New Roman" w:hAnsi="Times New Roman"/>
            </w:rPr>
            <w:fldChar w:fldCharType="separate"/>
          </w:r>
          <w:r>
            <w:rPr>
              <w:rFonts w:ascii="Times New Roman" w:hAnsi="Times New Roman" w:eastAsia="黑体"/>
              <w:bCs/>
              <w:szCs w:val="32"/>
            </w:rPr>
            <w:t>二、项目概况</w:t>
          </w:r>
          <w:r>
            <w:tab/>
          </w:r>
          <w:r>
            <w:fldChar w:fldCharType="begin"/>
          </w:r>
          <w:r>
            <w:instrText xml:space="preserve"> PAGEREF _Toc29768 \h </w:instrText>
          </w:r>
          <w:r>
            <w:fldChar w:fldCharType="separate"/>
          </w:r>
          <w:r>
            <w:t>2</w:t>
          </w:r>
          <w:r>
            <w:fldChar w:fldCharType="end"/>
          </w:r>
          <w:r>
            <w:rPr>
              <w:rFonts w:ascii="Times New Roman" w:hAnsi="Times New Roman"/>
            </w:rPr>
            <w:fldChar w:fldCharType="end"/>
          </w:r>
        </w:p>
        <w:p w14:paraId="5AFAA2B8">
          <w:pPr>
            <w:pStyle w:val="19"/>
            <w:tabs>
              <w:tab w:val="right" w:leader="dot" w:pos="8306"/>
            </w:tabs>
          </w:pPr>
          <w:r>
            <w:rPr>
              <w:rFonts w:ascii="Times New Roman" w:hAnsi="Times New Roman"/>
            </w:rPr>
            <w:fldChar w:fldCharType="begin"/>
          </w:r>
          <w:r>
            <w:rPr>
              <w:rFonts w:ascii="Times New Roman" w:hAnsi="Times New Roman"/>
            </w:rPr>
            <w:instrText xml:space="preserve"> HYPERLINK \l _Toc30972 </w:instrText>
          </w:r>
          <w:r>
            <w:rPr>
              <w:rFonts w:ascii="Times New Roman" w:hAnsi="Times New Roman"/>
            </w:rPr>
            <w:fldChar w:fldCharType="separate"/>
          </w:r>
          <w:r>
            <w:rPr>
              <w:rFonts w:ascii="Times New Roman" w:hAnsi="Times New Roman" w:eastAsia="黑体"/>
              <w:bCs/>
              <w:szCs w:val="32"/>
            </w:rPr>
            <w:t>四、响应文件递交</w:t>
          </w:r>
          <w:r>
            <w:tab/>
          </w:r>
          <w:r>
            <w:fldChar w:fldCharType="begin"/>
          </w:r>
          <w:r>
            <w:instrText xml:space="preserve"> PAGEREF _Toc30972 \h </w:instrText>
          </w:r>
          <w:r>
            <w:fldChar w:fldCharType="separate"/>
          </w:r>
          <w:r>
            <w:t>3</w:t>
          </w:r>
          <w:r>
            <w:fldChar w:fldCharType="end"/>
          </w:r>
          <w:r>
            <w:rPr>
              <w:rFonts w:ascii="Times New Roman" w:hAnsi="Times New Roman"/>
            </w:rPr>
            <w:fldChar w:fldCharType="end"/>
          </w:r>
        </w:p>
        <w:p w14:paraId="6F6E1915">
          <w:pPr>
            <w:pStyle w:val="19"/>
            <w:tabs>
              <w:tab w:val="right" w:leader="dot" w:pos="8306"/>
            </w:tabs>
          </w:pPr>
          <w:r>
            <w:rPr>
              <w:rFonts w:ascii="Times New Roman" w:hAnsi="Times New Roman"/>
            </w:rPr>
            <w:fldChar w:fldCharType="begin"/>
          </w:r>
          <w:r>
            <w:rPr>
              <w:rFonts w:ascii="Times New Roman" w:hAnsi="Times New Roman"/>
            </w:rPr>
            <w:instrText xml:space="preserve"> HYPERLINK \l _Toc6557 </w:instrText>
          </w:r>
          <w:r>
            <w:rPr>
              <w:rFonts w:ascii="Times New Roman" w:hAnsi="Times New Roman"/>
            </w:rPr>
            <w:fldChar w:fldCharType="separate"/>
          </w:r>
          <w:r>
            <w:rPr>
              <w:rFonts w:ascii="Times New Roman" w:hAnsi="Times New Roman" w:eastAsia="黑体"/>
              <w:bCs/>
              <w:szCs w:val="32"/>
            </w:rPr>
            <w:t>五、响应文件格式</w:t>
          </w:r>
          <w:r>
            <w:tab/>
          </w:r>
          <w:r>
            <w:fldChar w:fldCharType="begin"/>
          </w:r>
          <w:r>
            <w:instrText xml:space="preserve"> PAGEREF _Toc6557 \h </w:instrText>
          </w:r>
          <w:r>
            <w:fldChar w:fldCharType="separate"/>
          </w:r>
          <w:r>
            <w:t>3</w:t>
          </w:r>
          <w:r>
            <w:fldChar w:fldCharType="end"/>
          </w:r>
          <w:r>
            <w:rPr>
              <w:rFonts w:ascii="Times New Roman" w:hAnsi="Times New Roman"/>
            </w:rPr>
            <w:fldChar w:fldCharType="end"/>
          </w:r>
        </w:p>
        <w:p w14:paraId="659BEC50">
          <w:pPr>
            <w:pStyle w:val="19"/>
            <w:tabs>
              <w:tab w:val="right" w:leader="dot" w:pos="8306"/>
            </w:tabs>
          </w:pPr>
          <w:r>
            <w:rPr>
              <w:rFonts w:ascii="Times New Roman" w:hAnsi="Times New Roman"/>
            </w:rPr>
            <w:fldChar w:fldCharType="begin"/>
          </w:r>
          <w:r>
            <w:rPr>
              <w:rFonts w:ascii="Times New Roman" w:hAnsi="Times New Roman"/>
            </w:rPr>
            <w:instrText xml:space="preserve"> HYPERLINK \l _Toc31151 </w:instrText>
          </w:r>
          <w:r>
            <w:rPr>
              <w:rFonts w:ascii="Times New Roman" w:hAnsi="Times New Roman"/>
            </w:rPr>
            <w:fldChar w:fldCharType="separate"/>
          </w:r>
          <w:r>
            <w:rPr>
              <w:rFonts w:ascii="Times New Roman" w:hAnsi="Times New Roman" w:eastAsia="黑体"/>
              <w:bCs/>
              <w:szCs w:val="32"/>
            </w:rPr>
            <w:t>六、发布公告的媒介</w:t>
          </w:r>
          <w:r>
            <w:tab/>
          </w:r>
          <w:r>
            <w:fldChar w:fldCharType="begin"/>
          </w:r>
          <w:r>
            <w:instrText xml:space="preserve"> PAGEREF _Toc31151 \h </w:instrText>
          </w:r>
          <w:r>
            <w:fldChar w:fldCharType="separate"/>
          </w:r>
          <w:r>
            <w:t>3</w:t>
          </w:r>
          <w:r>
            <w:fldChar w:fldCharType="end"/>
          </w:r>
          <w:r>
            <w:rPr>
              <w:rFonts w:ascii="Times New Roman" w:hAnsi="Times New Roman"/>
            </w:rPr>
            <w:fldChar w:fldCharType="end"/>
          </w:r>
        </w:p>
        <w:p w14:paraId="14860B1C">
          <w:pPr>
            <w:pStyle w:val="19"/>
            <w:tabs>
              <w:tab w:val="right" w:leader="dot" w:pos="8306"/>
            </w:tabs>
          </w:pPr>
          <w:r>
            <w:rPr>
              <w:rFonts w:ascii="Times New Roman" w:hAnsi="Times New Roman"/>
            </w:rPr>
            <w:fldChar w:fldCharType="begin"/>
          </w:r>
          <w:r>
            <w:rPr>
              <w:rFonts w:ascii="Times New Roman" w:hAnsi="Times New Roman"/>
            </w:rPr>
            <w:instrText xml:space="preserve"> HYPERLINK \l _Toc26885 </w:instrText>
          </w:r>
          <w:r>
            <w:rPr>
              <w:rFonts w:ascii="Times New Roman" w:hAnsi="Times New Roman"/>
            </w:rPr>
            <w:fldChar w:fldCharType="separate"/>
          </w:r>
          <w:r>
            <w:rPr>
              <w:rFonts w:ascii="Times New Roman" w:hAnsi="Times New Roman" w:eastAsia="黑体"/>
              <w:bCs/>
              <w:szCs w:val="32"/>
            </w:rPr>
            <w:t>七、联系方式</w:t>
          </w:r>
          <w:r>
            <w:tab/>
          </w:r>
          <w:r>
            <w:fldChar w:fldCharType="begin"/>
          </w:r>
          <w:r>
            <w:instrText xml:space="preserve"> PAGEREF _Toc26885 \h </w:instrText>
          </w:r>
          <w:r>
            <w:fldChar w:fldCharType="separate"/>
          </w:r>
          <w:r>
            <w:t>4</w:t>
          </w:r>
          <w:r>
            <w:fldChar w:fldCharType="end"/>
          </w:r>
          <w:r>
            <w:rPr>
              <w:rFonts w:ascii="Times New Roman" w:hAnsi="Times New Roman"/>
            </w:rPr>
            <w:fldChar w:fldCharType="end"/>
          </w:r>
        </w:p>
        <w:p w14:paraId="3599D6C0">
          <w:pPr>
            <w:pStyle w:val="18"/>
            <w:tabs>
              <w:tab w:val="right" w:leader="dot" w:pos="8306"/>
            </w:tabs>
          </w:pPr>
          <w:r>
            <w:rPr>
              <w:rFonts w:ascii="Times New Roman" w:hAnsi="Times New Roman"/>
            </w:rPr>
            <w:fldChar w:fldCharType="begin"/>
          </w:r>
          <w:r>
            <w:rPr>
              <w:rFonts w:ascii="Times New Roman" w:hAnsi="Times New Roman"/>
            </w:rPr>
            <w:instrText xml:space="preserve"> HYPERLINK \l _Toc11280 </w:instrText>
          </w:r>
          <w:r>
            <w:rPr>
              <w:rFonts w:ascii="Times New Roman" w:hAnsi="Times New Roman"/>
            </w:rPr>
            <w:fldChar w:fldCharType="separate"/>
          </w:r>
          <w:r>
            <w:rPr>
              <w:rFonts w:ascii="Times New Roman" w:hAnsi="Times New Roman"/>
            </w:rPr>
            <w:t>第二章  供应商须知</w:t>
          </w:r>
          <w:r>
            <w:tab/>
          </w:r>
          <w:r>
            <w:fldChar w:fldCharType="begin"/>
          </w:r>
          <w:r>
            <w:instrText xml:space="preserve"> PAGEREF _Toc11280 \h </w:instrText>
          </w:r>
          <w:r>
            <w:fldChar w:fldCharType="separate"/>
          </w:r>
          <w:r>
            <w:t>5</w:t>
          </w:r>
          <w:r>
            <w:fldChar w:fldCharType="end"/>
          </w:r>
          <w:r>
            <w:rPr>
              <w:rFonts w:ascii="Times New Roman" w:hAnsi="Times New Roman"/>
            </w:rPr>
            <w:fldChar w:fldCharType="end"/>
          </w:r>
        </w:p>
        <w:p w14:paraId="0F9953A4">
          <w:pPr>
            <w:pStyle w:val="19"/>
            <w:tabs>
              <w:tab w:val="right" w:leader="dot" w:pos="8306"/>
            </w:tabs>
          </w:pPr>
          <w:r>
            <w:rPr>
              <w:rFonts w:ascii="Times New Roman" w:hAnsi="Times New Roman"/>
            </w:rPr>
            <w:fldChar w:fldCharType="begin"/>
          </w:r>
          <w:r>
            <w:rPr>
              <w:rFonts w:ascii="Times New Roman" w:hAnsi="Times New Roman"/>
            </w:rPr>
            <w:instrText xml:space="preserve"> HYPERLINK \l _Toc12476 </w:instrText>
          </w:r>
          <w:r>
            <w:rPr>
              <w:rFonts w:ascii="Times New Roman" w:hAnsi="Times New Roman"/>
            </w:rPr>
            <w:fldChar w:fldCharType="separate"/>
          </w:r>
          <w:r>
            <w:rPr>
              <w:rFonts w:ascii="Times New Roman" w:hAnsi="Times New Roman"/>
              <w:bCs/>
              <w:szCs w:val="28"/>
            </w:rPr>
            <w:t>供应商须知前附表</w:t>
          </w:r>
          <w:r>
            <w:tab/>
          </w:r>
          <w:r>
            <w:fldChar w:fldCharType="begin"/>
          </w:r>
          <w:r>
            <w:instrText xml:space="preserve"> PAGEREF _Toc12476 \h </w:instrText>
          </w:r>
          <w:r>
            <w:fldChar w:fldCharType="separate"/>
          </w:r>
          <w:r>
            <w:t>5</w:t>
          </w:r>
          <w:r>
            <w:fldChar w:fldCharType="end"/>
          </w:r>
          <w:r>
            <w:rPr>
              <w:rFonts w:ascii="Times New Roman" w:hAnsi="Times New Roman"/>
            </w:rPr>
            <w:fldChar w:fldCharType="end"/>
          </w:r>
        </w:p>
        <w:p w14:paraId="6BBD39D5">
          <w:pPr>
            <w:pStyle w:val="19"/>
            <w:tabs>
              <w:tab w:val="right" w:leader="dot" w:pos="8306"/>
            </w:tabs>
          </w:pPr>
          <w:r>
            <w:rPr>
              <w:rFonts w:ascii="Times New Roman" w:hAnsi="Times New Roman"/>
            </w:rPr>
            <w:fldChar w:fldCharType="begin"/>
          </w:r>
          <w:r>
            <w:rPr>
              <w:rFonts w:ascii="Times New Roman" w:hAnsi="Times New Roman"/>
            </w:rPr>
            <w:instrText xml:space="preserve"> HYPERLINK \l _Toc30335 </w:instrText>
          </w:r>
          <w:r>
            <w:rPr>
              <w:rFonts w:ascii="Times New Roman" w:hAnsi="Times New Roman"/>
            </w:rPr>
            <w:fldChar w:fldCharType="separate"/>
          </w:r>
          <w:r>
            <w:rPr>
              <w:rFonts w:ascii="Times New Roman" w:hAnsi="Times New Roman"/>
              <w:szCs w:val="28"/>
            </w:rPr>
            <w:t>重要须知</w:t>
          </w:r>
          <w:r>
            <w:tab/>
          </w:r>
          <w:r>
            <w:fldChar w:fldCharType="begin"/>
          </w:r>
          <w:r>
            <w:instrText xml:space="preserve"> PAGEREF _Toc30335 \h </w:instrText>
          </w:r>
          <w:r>
            <w:fldChar w:fldCharType="separate"/>
          </w:r>
          <w:r>
            <w:t>7</w:t>
          </w:r>
          <w:r>
            <w:fldChar w:fldCharType="end"/>
          </w:r>
          <w:r>
            <w:rPr>
              <w:rFonts w:ascii="Times New Roman" w:hAnsi="Times New Roman"/>
            </w:rPr>
            <w:fldChar w:fldCharType="end"/>
          </w:r>
        </w:p>
        <w:p w14:paraId="6DD77CEC">
          <w:pPr>
            <w:pStyle w:val="18"/>
            <w:tabs>
              <w:tab w:val="right" w:leader="dot" w:pos="8306"/>
            </w:tabs>
          </w:pPr>
          <w:r>
            <w:rPr>
              <w:rFonts w:ascii="Times New Roman" w:hAnsi="Times New Roman"/>
            </w:rPr>
            <w:fldChar w:fldCharType="begin"/>
          </w:r>
          <w:r>
            <w:rPr>
              <w:rFonts w:ascii="Times New Roman" w:hAnsi="Times New Roman"/>
            </w:rPr>
            <w:instrText xml:space="preserve"> HYPERLINK \l _Toc12881 </w:instrText>
          </w:r>
          <w:r>
            <w:rPr>
              <w:rFonts w:ascii="Times New Roman" w:hAnsi="Times New Roman"/>
            </w:rPr>
            <w:fldChar w:fldCharType="separate"/>
          </w:r>
          <w:r>
            <w:rPr>
              <w:rFonts w:ascii="Times New Roman" w:hAnsi="Times New Roman"/>
              <w:szCs w:val="32"/>
            </w:rPr>
            <w:t>第三章  评审办法（综合评分法）</w:t>
          </w:r>
          <w:r>
            <w:tab/>
          </w:r>
          <w:r>
            <w:fldChar w:fldCharType="begin"/>
          </w:r>
          <w:r>
            <w:instrText xml:space="preserve"> PAGEREF _Toc12881 \h </w:instrText>
          </w:r>
          <w:r>
            <w:fldChar w:fldCharType="separate"/>
          </w:r>
          <w:r>
            <w:t>8</w:t>
          </w:r>
          <w:r>
            <w:fldChar w:fldCharType="end"/>
          </w:r>
          <w:r>
            <w:rPr>
              <w:rFonts w:ascii="Times New Roman" w:hAnsi="Times New Roman"/>
            </w:rPr>
            <w:fldChar w:fldCharType="end"/>
          </w:r>
        </w:p>
        <w:p w14:paraId="785CA8E5">
          <w:pPr>
            <w:pStyle w:val="19"/>
            <w:tabs>
              <w:tab w:val="right" w:leader="dot" w:pos="8306"/>
            </w:tabs>
          </w:pPr>
          <w:r>
            <w:rPr>
              <w:rFonts w:ascii="Times New Roman" w:hAnsi="Times New Roman"/>
            </w:rPr>
            <w:fldChar w:fldCharType="begin"/>
          </w:r>
          <w:r>
            <w:rPr>
              <w:rFonts w:ascii="Times New Roman" w:hAnsi="Times New Roman"/>
            </w:rPr>
            <w:instrText xml:space="preserve"> HYPERLINK \l _Toc32318 </w:instrText>
          </w:r>
          <w:r>
            <w:rPr>
              <w:rFonts w:ascii="Times New Roman" w:hAnsi="Times New Roman"/>
            </w:rPr>
            <w:fldChar w:fldCharType="separate"/>
          </w:r>
          <w:r>
            <w:rPr>
              <w:rFonts w:ascii="Times New Roman" w:hAnsi="Times New Roman"/>
              <w:szCs w:val="24"/>
            </w:rPr>
            <w:t>一、总则</w:t>
          </w:r>
          <w:r>
            <w:tab/>
          </w:r>
          <w:r>
            <w:fldChar w:fldCharType="begin"/>
          </w:r>
          <w:r>
            <w:instrText xml:space="preserve"> PAGEREF _Toc32318 \h </w:instrText>
          </w:r>
          <w:r>
            <w:fldChar w:fldCharType="separate"/>
          </w:r>
          <w:r>
            <w:t>8</w:t>
          </w:r>
          <w:r>
            <w:fldChar w:fldCharType="end"/>
          </w:r>
          <w:r>
            <w:rPr>
              <w:rFonts w:ascii="Times New Roman" w:hAnsi="Times New Roman"/>
            </w:rPr>
            <w:fldChar w:fldCharType="end"/>
          </w:r>
        </w:p>
        <w:p w14:paraId="397280A6">
          <w:pPr>
            <w:pStyle w:val="19"/>
            <w:tabs>
              <w:tab w:val="right" w:leader="dot" w:pos="8306"/>
            </w:tabs>
          </w:pPr>
          <w:r>
            <w:rPr>
              <w:rFonts w:ascii="Times New Roman" w:hAnsi="Times New Roman"/>
            </w:rPr>
            <w:fldChar w:fldCharType="begin"/>
          </w:r>
          <w:r>
            <w:rPr>
              <w:rFonts w:ascii="Times New Roman" w:hAnsi="Times New Roman"/>
            </w:rPr>
            <w:instrText xml:space="preserve"> HYPERLINK \l _Toc26687 </w:instrText>
          </w:r>
          <w:r>
            <w:rPr>
              <w:rFonts w:ascii="Times New Roman" w:hAnsi="Times New Roman"/>
            </w:rPr>
            <w:fldChar w:fldCharType="separate"/>
          </w:r>
          <w:r>
            <w:rPr>
              <w:rFonts w:ascii="Times New Roman" w:hAnsi="Times New Roman"/>
              <w:szCs w:val="24"/>
            </w:rPr>
            <w:t>二、评审程序</w:t>
          </w:r>
          <w:r>
            <w:tab/>
          </w:r>
          <w:r>
            <w:fldChar w:fldCharType="begin"/>
          </w:r>
          <w:r>
            <w:instrText xml:space="preserve"> PAGEREF _Toc26687 \h </w:instrText>
          </w:r>
          <w:r>
            <w:fldChar w:fldCharType="separate"/>
          </w:r>
          <w:r>
            <w:t>8</w:t>
          </w:r>
          <w:r>
            <w:fldChar w:fldCharType="end"/>
          </w:r>
          <w:r>
            <w:rPr>
              <w:rFonts w:ascii="Times New Roman" w:hAnsi="Times New Roman"/>
            </w:rPr>
            <w:fldChar w:fldCharType="end"/>
          </w:r>
        </w:p>
        <w:p w14:paraId="295A2C54">
          <w:pPr>
            <w:pStyle w:val="18"/>
            <w:tabs>
              <w:tab w:val="right" w:leader="dot" w:pos="8306"/>
            </w:tabs>
          </w:pPr>
          <w:r>
            <w:rPr>
              <w:rFonts w:ascii="Times New Roman" w:hAnsi="Times New Roman"/>
            </w:rPr>
            <w:fldChar w:fldCharType="begin"/>
          </w:r>
          <w:r>
            <w:rPr>
              <w:rFonts w:ascii="Times New Roman" w:hAnsi="Times New Roman"/>
            </w:rPr>
            <w:instrText xml:space="preserve"> HYPERLINK \l _Toc7440 </w:instrText>
          </w:r>
          <w:r>
            <w:rPr>
              <w:rFonts w:ascii="Times New Roman" w:hAnsi="Times New Roman"/>
            </w:rPr>
            <w:fldChar w:fldCharType="separate"/>
          </w:r>
          <w:r>
            <w:rPr>
              <w:rFonts w:ascii="Times New Roman" w:hAnsi="Times New Roman"/>
              <w:szCs w:val="32"/>
            </w:rPr>
            <w:t>第四章  合同文件格式</w:t>
          </w:r>
          <w:r>
            <w:tab/>
          </w:r>
          <w:r>
            <w:fldChar w:fldCharType="begin"/>
          </w:r>
          <w:r>
            <w:instrText xml:space="preserve"> PAGEREF _Toc7440 \h </w:instrText>
          </w:r>
          <w:r>
            <w:fldChar w:fldCharType="separate"/>
          </w:r>
          <w:r>
            <w:t>11</w:t>
          </w:r>
          <w:r>
            <w:fldChar w:fldCharType="end"/>
          </w:r>
          <w:r>
            <w:rPr>
              <w:rFonts w:ascii="Times New Roman" w:hAnsi="Times New Roman"/>
            </w:rPr>
            <w:fldChar w:fldCharType="end"/>
          </w:r>
        </w:p>
        <w:p w14:paraId="139F3189">
          <w:pPr>
            <w:pStyle w:val="18"/>
            <w:tabs>
              <w:tab w:val="right" w:leader="dot" w:pos="8306"/>
            </w:tabs>
          </w:pPr>
          <w:r>
            <w:rPr>
              <w:rFonts w:ascii="Times New Roman" w:hAnsi="Times New Roman"/>
            </w:rPr>
            <w:fldChar w:fldCharType="begin"/>
          </w:r>
          <w:r>
            <w:rPr>
              <w:rFonts w:ascii="Times New Roman" w:hAnsi="Times New Roman"/>
            </w:rPr>
            <w:instrText xml:space="preserve"> HYPERLINK \l _Toc20881 </w:instrText>
          </w:r>
          <w:r>
            <w:rPr>
              <w:rFonts w:ascii="Times New Roman" w:hAnsi="Times New Roman"/>
            </w:rPr>
            <w:fldChar w:fldCharType="separate"/>
          </w:r>
          <w:r>
            <w:rPr>
              <w:rFonts w:ascii="Times New Roman" w:hAnsi="Times New Roman"/>
            </w:rPr>
            <w:t>第五章  服务标准和服务要求</w:t>
          </w:r>
          <w:r>
            <w:tab/>
          </w:r>
          <w:r>
            <w:fldChar w:fldCharType="begin"/>
          </w:r>
          <w:r>
            <w:instrText xml:space="preserve"> PAGEREF _Toc20881 \h </w:instrText>
          </w:r>
          <w:r>
            <w:fldChar w:fldCharType="separate"/>
          </w:r>
          <w:r>
            <w:t>12</w:t>
          </w:r>
          <w:r>
            <w:fldChar w:fldCharType="end"/>
          </w:r>
          <w:r>
            <w:rPr>
              <w:rFonts w:ascii="Times New Roman" w:hAnsi="Times New Roman"/>
            </w:rPr>
            <w:fldChar w:fldCharType="end"/>
          </w:r>
        </w:p>
        <w:p w14:paraId="738C26CA">
          <w:pPr>
            <w:pStyle w:val="18"/>
            <w:tabs>
              <w:tab w:val="right" w:leader="dot" w:pos="8306"/>
            </w:tabs>
          </w:pPr>
          <w:r>
            <w:rPr>
              <w:rFonts w:ascii="Times New Roman" w:hAnsi="Times New Roman"/>
            </w:rPr>
            <w:fldChar w:fldCharType="begin"/>
          </w:r>
          <w:r>
            <w:rPr>
              <w:rFonts w:ascii="Times New Roman" w:hAnsi="Times New Roman"/>
            </w:rPr>
            <w:instrText xml:space="preserve"> HYPERLINK \l _Toc30947 </w:instrText>
          </w:r>
          <w:r>
            <w:rPr>
              <w:rFonts w:ascii="Times New Roman" w:hAnsi="Times New Roman"/>
            </w:rPr>
            <w:fldChar w:fldCharType="separate"/>
          </w:r>
          <w:r>
            <w:rPr>
              <w:rFonts w:ascii="Times New Roman" w:hAnsi="Times New Roman"/>
            </w:rPr>
            <w:t>第六章  响应文件格式</w:t>
          </w:r>
          <w:r>
            <w:tab/>
          </w:r>
          <w:r>
            <w:fldChar w:fldCharType="begin"/>
          </w:r>
          <w:r>
            <w:instrText xml:space="preserve"> PAGEREF _Toc30947 \h </w:instrText>
          </w:r>
          <w:r>
            <w:fldChar w:fldCharType="separate"/>
          </w:r>
          <w:r>
            <w:t>13</w:t>
          </w:r>
          <w:r>
            <w:fldChar w:fldCharType="end"/>
          </w:r>
          <w:r>
            <w:rPr>
              <w:rFonts w:ascii="Times New Roman" w:hAnsi="Times New Roman"/>
            </w:rPr>
            <w:fldChar w:fldCharType="end"/>
          </w:r>
        </w:p>
        <w:p w14:paraId="3F1B7E6E">
          <w:pPr>
            <w:pStyle w:val="19"/>
            <w:tabs>
              <w:tab w:val="right" w:leader="dot" w:pos="8306"/>
            </w:tabs>
          </w:pPr>
          <w:r>
            <w:rPr>
              <w:rFonts w:ascii="Times New Roman" w:hAnsi="Times New Roman"/>
            </w:rPr>
            <w:fldChar w:fldCharType="begin"/>
          </w:r>
          <w:r>
            <w:rPr>
              <w:rFonts w:ascii="Times New Roman" w:hAnsi="Times New Roman"/>
            </w:rPr>
            <w:instrText xml:space="preserve"> HYPERLINK \l _Toc15197 </w:instrText>
          </w:r>
          <w:r>
            <w:rPr>
              <w:rFonts w:ascii="Times New Roman" w:hAnsi="Times New Roman"/>
            </w:rPr>
            <w:fldChar w:fldCharType="separate"/>
          </w:r>
          <w:r>
            <w:rPr>
              <w:rFonts w:ascii="Times New Roman" w:hAnsi="Times New Roman"/>
              <w:szCs w:val="32"/>
            </w:rPr>
            <w:t>一、资格部分</w:t>
          </w:r>
          <w:r>
            <w:tab/>
          </w:r>
          <w:r>
            <w:fldChar w:fldCharType="begin"/>
          </w:r>
          <w:r>
            <w:instrText xml:space="preserve"> PAGEREF _Toc15197 \h </w:instrText>
          </w:r>
          <w:r>
            <w:fldChar w:fldCharType="separate"/>
          </w:r>
          <w:r>
            <w:t>16</w:t>
          </w:r>
          <w:r>
            <w:fldChar w:fldCharType="end"/>
          </w:r>
          <w:r>
            <w:rPr>
              <w:rFonts w:ascii="Times New Roman" w:hAnsi="Times New Roman"/>
            </w:rPr>
            <w:fldChar w:fldCharType="end"/>
          </w:r>
        </w:p>
        <w:p w14:paraId="3AD862F8">
          <w:pPr>
            <w:pStyle w:val="19"/>
            <w:tabs>
              <w:tab w:val="right" w:leader="dot" w:pos="8306"/>
            </w:tabs>
          </w:pPr>
          <w:r>
            <w:rPr>
              <w:rFonts w:ascii="Times New Roman" w:hAnsi="Times New Roman"/>
            </w:rPr>
            <w:fldChar w:fldCharType="begin"/>
          </w:r>
          <w:r>
            <w:rPr>
              <w:rFonts w:ascii="Times New Roman" w:hAnsi="Times New Roman"/>
            </w:rPr>
            <w:instrText xml:space="preserve"> HYPERLINK \l _Toc30157 </w:instrText>
          </w:r>
          <w:r>
            <w:rPr>
              <w:rFonts w:ascii="Times New Roman" w:hAnsi="Times New Roman"/>
            </w:rPr>
            <w:fldChar w:fldCharType="separate"/>
          </w:r>
          <w:r>
            <w:rPr>
              <w:rFonts w:ascii="Times New Roman" w:hAnsi="Times New Roman"/>
              <w:szCs w:val="32"/>
            </w:rPr>
            <w:t>二、报价部分</w:t>
          </w:r>
          <w:r>
            <w:tab/>
          </w:r>
          <w:r>
            <w:fldChar w:fldCharType="begin"/>
          </w:r>
          <w:r>
            <w:instrText xml:space="preserve"> PAGEREF _Toc30157 \h </w:instrText>
          </w:r>
          <w:r>
            <w:fldChar w:fldCharType="separate"/>
          </w:r>
          <w:r>
            <w:t>18</w:t>
          </w:r>
          <w:r>
            <w:fldChar w:fldCharType="end"/>
          </w:r>
          <w:r>
            <w:rPr>
              <w:rFonts w:ascii="Times New Roman" w:hAnsi="Times New Roman"/>
            </w:rPr>
            <w:fldChar w:fldCharType="end"/>
          </w:r>
        </w:p>
        <w:p w14:paraId="36705ECC">
          <w:pPr>
            <w:pStyle w:val="11"/>
            <w:tabs>
              <w:tab w:val="right" w:leader="dot" w:pos="8306"/>
            </w:tabs>
          </w:pPr>
          <w:r>
            <w:rPr>
              <w:rFonts w:ascii="Times New Roman" w:hAnsi="Times New Roman"/>
            </w:rPr>
            <w:fldChar w:fldCharType="begin"/>
          </w:r>
          <w:r>
            <w:rPr>
              <w:rFonts w:ascii="Times New Roman" w:hAnsi="Times New Roman"/>
            </w:rPr>
            <w:instrText xml:space="preserve"> HYPERLINK \l _Toc32599 </w:instrText>
          </w:r>
          <w:r>
            <w:rPr>
              <w:rFonts w:ascii="Times New Roman" w:hAnsi="Times New Roman"/>
            </w:rPr>
            <w:fldChar w:fldCharType="separate"/>
          </w:r>
          <w:r>
            <w:rPr>
              <w:rFonts w:ascii="Times New Roman" w:hAnsi="Times New Roman"/>
              <w:bCs/>
              <w:szCs w:val="30"/>
            </w:rPr>
            <w:t>福建钱江水务有限公司融资服务项目</w:t>
          </w:r>
          <w:r>
            <w:rPr>
              <w:rFonts w:ascii="Times New Roman" w:hAnsi="Times New Roman"/>
              <w:bCs/>
              <w:szCs w:val="30"/>
            </w:rPr>
            <w:t xml:space="preserve"> </w:t>
          </w:r>
          <w:r>
            <w:rPr>
              <w:rFonts w:ascii="Times New Roman" w:hAnsi="Times New Roman"/>
              <w:bCs/>
              <w:szCs w:val="30"/>
            </w:rPr>
            <w:t>报价表（第</w:t>
          </w:r>
          <w:r>
            <w:rPr>
              <w:rFonts w:hint="eastAsia" w:ascii="Times New Roman" w:hAnsi="Times New Roman"/>
              <w:bCs/>
              <w:szCs w:val="30"/>
            </w:rPr>
            <w:t>2</w:t>
          </w:r>
          <w:r>
            <w:rPr>
              <w:rFonts w:ascii="Times New Roman" w:hAnsi="Times New Roman"/>
              <w:bCs/>
              <w:szCs w:val="30"/>
            </w:rPr>
            <w:t>标包）</w:t>
          </w:r>
          <w:r>
            <w:tab/>
          </w:r>
          <w:r>
            <w:fldChar w:fldCharType="begin"/>
          </w:r>
          <w:r>
            <w:instrText xml:space="preserve"> PAGEREF _Toc32599 \h </w:instrText>
          </w:r>
          <w:r>
            <w:fldChar w:fldCharType="separate"/>
          </w:r>
          <w:r>
            <w:t>19</w:t>
          </w:r>
          <w:r>
            <w:fldChar w:fldCharType="end"/>
          </w:r>
          <w:r>
            <w:rPr>
              <w:rFonts w:ascii="Times New Roman" w:hAnsi="Times New Roman"/>
            </w:rPr>
            <w:fldChar w:fldCharType="end"/>
          </w:r>
        </w:p>
        <w:p w14:paraId="60CCA80E">
          <w:pPr>
            <w:pStyle w:val="19"/>
            <w:tabs>
              <w:tab w:val="right" w:leader="dot" w:pos="8306"/>
            </w:tabs>
          </w:pPr>
          <w:r>
            <w:rPr>
              <w:rFonts w:ascii="Times New Roman" w:hAnsi="Times New Roman"/>
            </w:rPr>
            <w:fldChar w:fldCharType="begin"/>
          </w:r>
          <w:r>
            <w:rPr>
              <w:rFonts w:ascii="Times New Roman" w:hAnsi="Times New Roman"/>
            </w:rPr>
            <w:instrText xml:space="preserve"> HYPERLINK \l _Toc15580 </w:instrText>
          </w:r>
          <w:r>
            <w:rPr>
              <w:rFonts w:ascii="Times New Roman" w:hAnsi="Times New Roman"/>
            </w:rPr>
            <w:fldChar w:fldCharType="separate"/>
          </w:r>
          <w:r>
            <w:rPr>
              <w:rFonts w:ascii="Times New Roman" w:hAnsi="Times New Roman"/>
              <w:szCs w:val="44"/>
            </w:rPr>
            <w:t>三、技术部分</w:t>
          </w:r>
          <w:r>
            <w:tab/>
          </w:r>
          <w:r>
            <w:fldChar w:fldCharType="begin"/>
          </w:r>
          <w:r>
            <w:instrText xml:space="preserve"> PAGEREF _Toc15580 \h </w:instrText>
          </w:r>
          <w:r>
            <w:fldChar w:fldCharType="separate"/>
          </w:r>
          <w:r>
            <w:t>20</w:t>
          </w:r>
          <w:r>
            <w:fldChar w:fldCharType="end"/>
          </w:r>
          <w:r>
            <w:rPr>
              <w:rFonts w:ascii="Times New Roman" w:hAnsi="Times New Roman"/>
            </w:rPr>
            <w:fldChar w:fldCharType="end"/>
          </w:r>
        </w:p>
        <w:p w14:paraId="343A77EE">
          <w:pPr>
            <w:rPr>
              <w:rFonts w:ascii="Times New Roman" w:hAnsi="Times New Roman"/>
            </w:rPr>
          </w:pPr>
          <w:r>
            <w:rPr>
              <w:rFonts w:ascii="Times New Roman" w:hAnsi="Times New Roman"/>
            </w:rPr>
            <w:fldChar w:fldCharType="end"/>
          </w:r>
        </w:p>
      </w:sdtContent>
    </w:sdt>
    <w:p w14:paraId="4217C1C6">
      <w:pPr>
        <w:rPr>
          <w:rFonts w:ascii="Times New Roman" w:hAnsi="Times New Roman"/>
        </w:rPr>
      </w:pPr>
    </w:p>
    <w:p w14:paraId="24719A61">
      <w:pPr>
        <w:tabs>
          <w:tab w:val="left" w:pos="2595"/>
          <w:tab w:val="center" w:pos="4153"/>
        </w:tabs>
        <w:spacing w:after="312" w:afterLines="100" w:line="480" w:lineRule="auto"/>
        <w:jc w:val="center"/>
        <w:outlineLvl w:val="0"/>
        <w:rPr>
          <w:rFonts w:ascii="Times New Roman" w:hAnsi="Times New Roman"/>
          <w:b/>
          <w:sz w:val="32"/>
        </w:rPr>
        <w:sectPr>
          <w:footerReference r:id="rId5" w:type="default"/>
          <w:pgSz w:w="11906" w:h="16838"/>
          <w:pgMar w:top="1440" w:right="1800" w:bottom="1440" w:left="1800" w:header="851" w:footer="992" w:gutter="0"/>
          <w:pgNumType w:start="1"/>
          <w:cols w:space="0" w:num="1"/>
          <w:docGrid w:type="lines" w:linePitch="312" w:charSpace="0"/>
        </w:sectPr>
      </w:pPr>
    </w:p>
    <w:p w14:paraId="353C3FB9">
      <w:pPr>
        <w:tabs>
          <w:tab w:val="left" w:pos="2595"/>
          <w:tab w:val="center" w:pos="4153"/>
        </w:tabs>
        <w:spacing w:after="312" w:afterLines="100" w:line="480" w:lineRule="auto"/>
        <w:jc w:val="center"/>
        <w:outlineLvl w:val="0"/>
        <w:rPr>
          <w:rFonts w:ascii="Times New Roman" w:hAnsi="Times New Roman"/>
          <w:b/>
          <w:sz w:val="32"/>
        </w:rPr>
      </w:pPr>
      <w:bookmarkStart w:id="6" w:name="_Toc25992"/>
      <w:bookmarkStart w:id="7" w:name="_Toc26283"/>
      <w:bookmarkStart w:id="8" w:name="_Toc15308"/>
      <w:r>
        <w:rPr>
          <w:rFonts w:ascii="Times New Roman" w:hAnsi="Times New Roman"/>
          <w:b/>
          <w:sz w:val="32"/>
        </w:rPr>
        <w:t>第一章  采购公告</w:t>
      </w:r>
      <w:bookmarkEnd w:id="5"/>
      <w:bookmarkEnd w:id="6"/>
      <w:bookmarkEnd w:id="7"/>
      <w:bookmarkEnd w:id="8"/>
    </w:p>
    <w:p w14:paraId="636576CB">
      <w:pPr>
        <w:spacing w:line="560" w:lineRule="exact"/>
        <w:ind w:firstLine="640" w:firstLineChars="200"/>
        <w:jc w:val="left"/>
        <w:outlineLvl w:val="1"/>
        <w:rPr>
          <w:rFonts w:ascii="Times New Roman" w:hAnsi="Times New Roman" w:eastAsia="黑体"/>
          <w:bCs/>
          <w:sz w:val="32"/>
          <w:szCs w:val="32"/>
        </w:rPr>
      </w:pPr>
      <w:bookmarkStart w:id="9" w:name="_Toc8739"/>
      <w:bookmarkStart w:id="10" w:name="_Toc13739"/>
      <w:bookmarkStart w:id="11" w:name="_Toc30419"/>
      <w:bookmarkStart w:id="12" w:name="_Toc11815"/>
      <w:bookmarkStart w:id="13" w:name="_Toc29417"/>
      <w:bookmarkStart w:id="14" w:name="_Toc199431735"/>
      <w:bookmarkStart w:id="15" w:name="_Hlk174093879"/>
      <w:bookmarkStart w:id="16" w:name="_Toc15380"/>
      <w:bookmarkStart w:id="17" w:name="_Toc4318"/>
      <w:r>
        <w:rPr>
          <w:rFonts w:ascii="Times New Roman" w:hAnsi="Times New Roman" w:eastAsia="黑体"/>
          <w:bCs/>
          <w:sz w:val="32"/>
          <w:szCs w:val="32"/>
        </w:rPr>
        <w:t>一、采购条件</w:t>
      </w:r>
      <w:bookmarkEnd w:id="9"/>
      <w:bookmarkEnd w:id="10"/>
      <w:bookmarkEnd w:id="11"/>
    </w:p>
    <w:bookmarkEnd w:id="12"/>
    <w:bookmarkEnd w:id="13"/>
    <w:bookmarkEnd w:id="14"/>
    <w:bookmarkEnd w:id="15"/>
    <w:bookmarkEnd w:id="16"/>
    <w:bookmarkEnd w:id="17"/>
    <w:p w14:paraId="468B3ABD">
      <w:pPr>
        <w:ind w:firstLine="640" w:firstLineChars="200"/>
        <w:rPr>
          <w:rFonts w:ascii="Times New Roman" w:hAnsi="Times New Roman" w:eastAsia="仿宋_GB2312"/>
          <w:sz w:val="32"/>
          <w:szCs w:val="32"/>
        </w:rPr>
      </w:pPr>
      <w:bookmarkStart w:id="18" w:name="_Toc8126"/>
      <w:bookmarkStart w:id="19" w:name="_Toc20988"/>
      <w:r>
        <w:rPr>
          <w:rFonts w:ascii="Times New Roman" w:hAnsi="Times New Roman" w:eastAsia="仿宋_GB2312"/>
          <w:sz w:val="32"/>
          <w:szCs w:val="32"/>
        </w:rPr>
        <w:t>为满足</w:t>
      </w:r>
      <w:r>
        <w:rPr>
          <w:rFonts w:hint="eastAsia" w:ascii="Times New Roman" w:hAnsi="Times New Roman" w:eastAsia="仿宋_GB2312"/>
          <w:sz w:val="32"/>
          <w:szCs w:val="32"/>
        </w:rPr>
        <w:t>漳州常华钱水水处理有限公司的</w:t>
      </w:r>
      <w:r>
        <w:rPr>
          <w:rFonts w:ascii="Times New Roman" w:hAnsi="Times New Roman" w:eastAsia="仿宋_GB2312"/>
          <w:sz w:val="32"/>
          <w:szCs w:val="32"/>
        </w:rPr>
        <w:t>流动资金需求，现根据市场行情，拟对多家银行贷款情况进行比选，以贷款利率报价为基础，并结合各银行提供的其他条件，综合确定贷款银行。</w:t>
      </w:r>
    </w:p>
    <w:p w14:paraId="66593B33">
      <w:pPr>
        <w:spacing w:line="560" w:lineRule="exact"/>
        <w:ind w:firstLine="640" w:firstLineChars="200"/>
        <w:jc w:val="left"/>
        <w:outlineLvl w:val="1"/>
        <w:rPr>
          <w:rFonts w:ascii="Times New Roman" w:hAnsi="Times New Roman" w:eastAsia="黑体"/>
          <w:bCs/>
          <w:sz w:val="32"/>
          <w:szCs w:val="32"/>
        </w:rPr>
      </w:pPr>
      <w:bookmarkStart w:id="20" w:name="_Toc29768"/>
      <w:r>
        <w:rPr>
          <w:rFonts w:ascii="Times New Roman" w:hAnsi="Times New Roman" w:eastAsia="黑体"/>
          <w:bCs/>
          <w:sz w:val="32"/>
          <w:szCs w:val="32"/>
        </w:rPr>
        <w:t>二、项目概况</w:t>
      </w:r>
      <w:bookmarkEnd w:id="18"/>
      <w:bookmarkEnd w:id="19"/>
      <w:bookmarkEnd w:id="20"/>
    </w:p>
    <w:p w14:paraId="08410BDE">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1、项目名称：福建钱江水务有限公司融资服务项目-第</w:t>
      </w:r>
      <w:r>
        <w:rPr>
          <w:rFonts w:hint="eastAsia" w:ascii="Times New Roman" w:hAnsi="Times New Roman" w:eastAsia="仿宋_GB2312"/>
          <w:sz w:val="32"/>
          <w:szCs w:val="32"/>
        </w:rPr>
        <w:t>2</w:t>
      </w:r>
      <w:r>
        <w:rPr>
          <w:rFonts w:ascii="Times New Roman" w:hAnsi="Times New Roman" w:eastAsia="仿宋_GB2312"/>
          <w:sz w:val="32"/>
          <w:szCs w:val="32"/>
        </w:rPr>
        <w:t>标包。</w:t>
      </w:r>
    </w:p>
    <w:p w14:paraId="4270EC2F">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2、采购项目概况：通过本次询比采购确定漳州常华钱水水处理有限公司融资服务银行，确定供应商和贷款利率（或综合成本）贷款金额后，由成交供应商与相关需求公司签订合同。</w:t>
      </w:r>
    </w:p>
    <w:p w14:paraId="0121AB2F">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3、项目最高限价：贷款报价利率（或综合成本）不高于同期贷款市场报价利率(LPR)。2025年1</w:t>
      </w:r>
      <w:r>
        <w:rPr>
          <w:rFonts w:hint="eastAsia" w:ascii="Times New Roman" w:hAnsi="Times New Roman" w:eastAsia="仿宋_GB2312"/>
          <w:sz w:val="32"/>
          <w:szCs w:val="32"/>
        </w:rPr>
        <w:t>1</w:t>
      </w:r>
      <w:r>
        <w:rPr>
          <w:rFonts w:ascii="Times New Roman" w:hAnsi="Times New Roman" w:eastAsia="仿宋_GB2312"/>
          <w:sz w:val="32"/>
          <w:szCs w:val="32"/>
        </w:rPr>
        <w:t>月20日贷款市场报价利率(LPR)：1年期 LPR 为3.</w:t>
      </w:r>
      <w:r>
        <w:rPr>
          <w:rFonts w:hint="eastAsia" w:ascii="Times New Roman" w:hAnsi="Times New Roman" w:eastAsia="仿宋_GB2312"/>
          <w:sz w:val="32"/>
          <w:szCs w:val="32"/>
        </w:rPr>
        <w:t>0</w:t>
      </w:r>
      <w:r>
        <w:rPr>
          <w:rFonts w:ascii="Times New Roman" w:hAnsi="Times New Roman" w:eastAsia="仿宋_GB2312"/>
          <w:sz w:val="32"/>
          <w:szCs w:val="32"/>
        </w:rPr>
        <w:t>0%。</w:t>
      </w:r>
    </w:p>
    <w:p w14:paraId="03B0D0F7">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4、成交供应商数量：1家。</w:t>
      </w:r>
    </w:p>
    <w:p w14:paraId="314D51A0">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5、总体服务要求</w:t>
      </w:r>
    </w:p>
    <w:p w14:paraId="7E412771">
      <w:pPr>
        <w:pStyle w:val="7"/>
        <w:adjustRightInd w:val="0"/>
        <w:snapToGrid w:val="0"/>
        <w:spacing w:after="0" w:line="560" w:lineRule="exact"/>
        <w:ind w:firstLine="640" w:firstLineChars="200"/>
        <w:rPr>
          <w:rFonts w:ascii="Times New Roman" w:hAnsi="Times New Roman" w:eastAsia="仿宋_GB2312"/>
          <w:sz w:val="32"/>
          <w:szCs w:val="32"/>
        </w:rPr>
      </w:pPr>
      <w:bookmarkStart w:id="21" w:name="_Toc19327"/>
      <w:r>
        <w:rPr>
          <w:rFonts w:hint="eastAsia" w:ascii="Times New Roman" w:hAnsi="Times New Roman" w:eastAsia="仿宋_GB2312"/>
          <w:sz w:val="32"/>
          <w:szCs w:val="32"/>
        </w:rPr>
        <w:t>（1）</w:t>
      </w:r>
      <w:r>
        <w:rPr>
          <w:rFonts w:ascii="Times New Roman" w:hAnsi="Times New Roman" w:eastAsia="仿宋_GB2312"/>
          <w:sz w:val="32"/>
          <w:szCs w:val="32"/>
        </w:rPr>
        <w:t>各银行为漳州常华钱水水处理有限公司提供流动资金贷款合计金额不少于1000万元。</w:t>
      </w:r>
    </w:p>
    <w:p w14:paraId="2493236F">
      <w:pPr>
        <w:pStyle w:val="7"/>
        <w:adjustRightInd w:val="0"/>
        <w:snapToGrid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借款期限不低于6个月，且允许提前还款。</w:t>
      </w:r>
    </w:p>
    <w:p w14:paraId="3BC3217B">
      <w:pPr>
        <w:pStyle w:val="7"/>
        <w:adjustRightInd w:val="0"/>
        <w:snapToGrid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贷款担保方式为信用，无需保证或抵质押。</w:t>
      </w:r>
    </w:p>
    <w:p w14:paraId="47E84273">
      <w:pPr>
        <w:pStyle w:val="7"/>
        <w:adjustRightInd w:val="0"/>
        <w:snapToGrid w:val="0"/>
        <w:spacing w:after="0"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项目贷款按照购买方每次提款需求放款。具体内容见采购文件第五章 服务标准和服务要求。</w:t>
      </w:r>
    </w:p>
    <w:p w14:paraId="344A1CA8">
      <w:pPr>
        <w:pStyle w:val="7"/>
        <w:adjustRightInd w:val="0"/>
        <w:snapToGrid w:val="0"/>
        <w:spacing w:after="0"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三、供应商资格要求</w:t>
      </w:r>
      <w:bookmarkEnd w:id="21"/>
    </w:p>
    <w:p w14:paraId="1A3A1B92">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1、须是中国境内合法注册的国有控股大型商业银行、中国邮政储蓄银行、股份制商业银行、城市商业银行等商业银行。</w:t>
      </w:r>
    </w:p>
    <w:p w14:paraId="42406EE7">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2、授信须处于有效期。</w:t>
      </w:r>
    </w:p>
    <w:p w14:paraId="3CEB7CF8">
      <w:pPr>
        <w:spacing w:line="560" w:lineRule="exact"/>
        <w:ind w:firstLine="640" w:firstLineChars="200"/>
        <w:jc w:val="left"/>
        <w:outlineLvl w:val="1"/>
        <w:rPr>
          <w:rFonts w:ascii="Times New Roman" w:hAnsi="Times New Roman" w:eastAsia="黑体"/>
          <w:bCs/>
          <w:sz w:val="32"/>
          <w:szCs w:val="32"/>
        </w:rPr>
      </w:pPr>
      <w:bookmarkStart w:id="22" w:name="_Toc1644"/>
      <w:bookmarkStart w:id="23" w:name="_Toc13350"/>
      <w:bookmarkStart w:id="24" w:name="_Toc30972"/>
      <w:bookmarkStart w:id="25" w:name="_Hlk163049067"/>
      <w:bookmarkStart w:id="26" w:name="_Hlk163050386"/>
      <w:r>
        <w:rPr>
          <w:rFonts w:ascii="Times New Roman" w:hAnsi="Times New Roman" w:eastAsia="黑体"/>
          <w:bCs/>
          <w:sz w:val="32"/>
          <w:szCs w:val="32"/>
        </w:rPr>
        <w:t>四、响应文件递交</w:t>
      </w:r>
      <w:bookmarkEnd w:id="22"/>
      <w:bookmarkEnd w:id="23"/>
      <w:bookmarkEnd w:id="24"/>
    </w:p>
    <w:p w14:paraId="312602E5">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1、响应文件截止时间：2025年</w:t>
      </w:r>
      <w:r>
        <w:rPr>
          <w:rFonts w:hint="eastAsia" w:ascii="Times New Roman" w:hAnsi="Times New Roman" w:eastAsia="仿宋_GB2312"/>
          <w:kern w:val="0"/>
          <w:sz w:val="32"/>
          <w:szCs w:val="32"/>
          <w:lang w:val="en-US" w:eastAsia="zh-CN"/>
        </w:rPr>
        <w:t>12</w:t>
      </w:r>
      <w:r>
        <w:rPr>
          <w:rFonts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4</w:t>
      </w:r>
      <w:r>
        <w:rPr>
          <w:rFonts w:ascii="Times New Roman" w:hAnsi="Times New Roman" w:eastAsia="仿宋_GB2312"/>
          <w:kern w:val="0"/>
          <w:sz w:val="32"/>
          <w:szCs w:val="32"/>
        </w:rPr>
        <w:t>日1</w:t>
      </w:r>
      <w:r>
        <w:rPr>
          <w:rFonts w:hint="eastAsia" w:ascii="Times New Roman" w:hAnsi="Times New Roman" w:eastAsia="仿宋_GB2312"/>
          <w:kern w:val="0"/>
          <w:sz w:val="32"/>
          <w:szCs w:val="32"/>
          <w:lang w:val="en-US" w:eastAsia="zh-CN"/>
        </w:rPr>
        <w:t>4</w:t>
      </w:r>
      <w:bookmarkStart w:id="107" w:name="_GoBack"/>
      <w:bookmarkEnd w:id="107"/>
      <w:r>
        <w:rPr>
          <w:rFonts w:ascii="Times New Roman" w:hAnsi="Times New Roman" w:eastAsia="仿宋_GB2312"/>
          <w:kern w:val="0"/>
          <w:sz w:val="32"/>
          <w:szCs w:val="32"/>
        </w:rPr>
        <w:t xml:space="preserve">:30（北京时间）。 </w:t>
      </w:r>
    </w:p>
    <w:p w14:paraId="1A49EC00">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递交地点：福建省福州市鼓楼区福州软件园F区8号楼11层福建钱江水务有限公司。响应文件必须在递交响应文件截止时间前送达指定地点，逾期送达、密封和标注错误的响应文件，采购人/采购机构恕不接收。本次采购可以接收邮寄的响应文件，但因邮寄导致截止时间以后送达的响应文件，响应文件不予接收。</w:t>
      </w:r>
    </w:p>
    <w:p w14:paraId="20EF898E">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收件人：郑女士，收件地址：福建省福州市鼓楼区福州软件园F区8号楼11层福建钱江水务有限公司，联系电话：15960099589。</w:t>
      </w:r>
    </w:p>
    <w:p w14:paraId="207CBFFD">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3、响应文件递交截止时间及递交地点如有变动，采购人将及时以电子邮件形式通知所有报名参加的供应商。</w:t>
      </w:r>
    </w:p>
    <w:bookmarkEnd w:id="25"/>
    <w:bookmarkEnd w:id="26"/>
    <w:p w14:paraId="6CDE179C">
      <w:pPr>
        <w:spacing w:line="560" w:lineRule="exact"/>
        <w:ind w:firstLine="640" w:firstLineChars="200"/>
        <w:jc w:val="left"/>
        <w:outlineLvl w:val="1"/>
        <w:rPr>
          <w:rFonts w:ascii="Times New Roman" w:hAnsi="Times New Roman" w:eastAsia="黑体"/>
          <w:bCs/>
          <w:sz w:val="32"/>
          <w:szCs w:val="32"/>
        </w:rPr>
      </w:pPr>
      <w:bookmarkStart w:id="27" w:name="_Toc12905"/>
      <w:bookmarkStart w:id="28" w:name="_Toc25842"/>
      <w:bookmarkStart w:id="29" w:name="_Toc6557"/>
      <w:r>
        <w:rPr>
          <w:rFonts w:ascii="Times New Roman" w:hAnsi="Times New Roman" w:eastAsia="黑体"/>
          <w:bCs/>
          <w:sz w:val="32"/>
          <w:szCs w:val="32"/>
        </w:rPr>
        <w:t>五、响应文件格式</w:t>
      </w:r>
      <w:bookmarkEnd w:id="27"/>
      <w:bookmarkEnd w:id="28"/>
      <w:bookmarkEnd w:id="29"/>
    </w:p>
    <w:p w14:paraId="1F3CBF8C">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响应文件格式详见第六章。</w:t>
      </w:r>
    </w:p>
    <w:p w14:paraId="788D2BB5">
      <w:pPr>
        <w:spacing w:line="560" w:lineRule="exact"/>
        <w:ind w:firstLine="640" w:firstLineChars="200"/>
        <w:jc w:val="left"/>
        <w:outlineLvl w:val="1"/>
        <w:rPr>
          <w:rFonts w:ascii="Times New Roman" w:hAnsi="Times New Roman" w:eastAsia="黑体"/>
          <w:bCs/>
          <w:sz w:val="32"/>
          <w:szCs w:val="32"/>
        </w:rPr>
      </w:pPr>
      <w:bookmarkStart w:id="30" w:name="_Toc19036"/>
      <w:bookmarkStart w:id="31" w:name="_Toc30830"/>
      <w:bookmarkStart w:id="32" w:name="_Toc31151"/>
      <w:r>
        <w:rPr>
          <w:rFonts w:ascii="Times New Roman" w:hAnsi="Times New Roman" w:eastAsia="黑体"/>
          <w:bCs/>
          <w:sz w:val="32"/>
          <w:szCs w:val="32"/>
        </w:rPr>
        <w:t>六、发布公告的媒介</w:t>
      </w:r>
      <w:bookmarkEnd w:id="30"/>
      <w:bookmarkEnd w:id="31"/>
      <w:bookmarkEnd w:id="32"/>
    </w:p>
    <w:p w14:paraId="5AD2B464">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本次采购公告发布媒体为福建钱江水务有限公司官网发布,链接：Https://www.fjqjsw.com/news/lists/10033。</w:t>
      </w:r>
    </w:p>
    <w:p w14:paraId="605F410F">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注：本次采购公告仅在上述网站发布，其它任何媒介转载无效，采购人不承担因此带来的一切后果。公布信息视同送达所有潜在供应商。</w:t>
      </w:r>
    </w:p>
    <w:p w14:paraId="414FC965">
      <w:pPr>
        <w:spacing w:line="560" w:lineRule="exact"/>
        <w:ind w:firstLine="640" w:firstLineChars="200"/>
        <w:jc w:val="left"/>
        <w:outlineLvl w:val="1"/>
        <w:rPr>
          <w:rFonts w:ascii="Times New Roman" w:hAnsi="Times New Roman" w:eastAsia="黑体"/>
          <w:bCs/>
          <w:sz w:val="32"/>
          <w:szCs w:val="32"/>
        </w:rPr>
      </w:pPr>
      <w:bookmarkStart w:id="33" w:name="_Toc13853"/>
      <w:bookmarkStart w:id="34" w:name="_Toc6500"/>
      <w:bookmarkStart w:id="35" w:name="_Toc26885"/>
      <w:r>
        <w:rPr>
          <w:rFonts w:ascii="Times New Roman" w:hAnsi="Times New Roman" w:eastAsia="黑体"/>
          <w:bCs/>
          <w:sz w:val="32"/>
          <w:szCs w:val="32"/>
        </w:rPr>
        <w:t>七、联系方式</w:t>
      </w:r>
      <w:bookmarkEnd w:id="33"/>
      <w:bookmarkEnd w:id="34"/>
      <w:bookmarkEnd w:id="35"/>
    </w:p>
    <w:p w14:paraId="2CEE0594">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采购人：福建钱江水务有限公司</w:t>
      </w:r>
    </w:p>
    <w:p w14:paraId="4258C918">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地址：福建省福州市鼓楼区福州软件园F区8号楼11层</w:t>
      </w:r>
    </w:p>
    <w:p w14:paraId="63277EC0">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邮编： 350101</w:t>
      </w:r>
    </w:p>
    <w:p w14:paraId="7D366E34">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联系人：郑女士</w:t>
      </w:r>
    </w:p>
    <w:p w14:paraId="2C2EB4A8">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电话：15960099589</w:t>
      </w:r>
    </w:p>
    <w:p w14:paraId="16D55CF0">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邮箱：tzfzb@fjqjsw.com</w:t>
      </w:r>
    </w:p>
    <w:p w14:paraId="125B16BE">
      <w:pPr>
        <w:wordWrap w:val="0"/>
        <w:spacing w:line="560" w:lineRule="exact"/>
        <w:ind w:firstLine="640" w:firstLineChars="200"/>
        <w:jc w:val="right"/>
        <w:rPr>
          <w:rFonts w:ascii="Times New Roman" w:hAnsi="Times New Roman" w:eastAsia="仿宋_GB2312"/>
          <w:bCs/>
          <w:sz w:val="32"/>
          <w:szCs w:val="32"/>
        </w:rPr>
      </w:pPr>
      <w:r>
        <w:rPr>
          <w:rFonts w:ascii="Times New Roman" w:hAnsi="Times New Roman" w:eastAsia="仿宋_GB2312"/>
          <w:bCs/>
          <w:sz w:val="32"/>
          <w:szCs w:val="32"/>
        </w:rPr>
        <w:t xml:space="preserve">福建钱江水务有限公司     </w:t>
      </w:r>
    </w:p>
    <w:p w14:paraId="4B84294D">
      <w:pPr>
        <w:spacing w:line="560" w:lineRule="exact"/>
        <w:ind w:right="960" w:firstLine="640" w:firstLineChars="200"/>
        <w:jc w:val="right"/>
        <w:rPr>
          <w:rFonts w:ascii="Times New Roman" w:hAnsi="Times New Roman" w:eastAsia="仿宋_GB2312"/>
          <w:bCs/>
          <w:sz w:val="32"/>
          <w:szCs w:val="32"/>
        </w:rPr>
      </w:pPr>
      <w:r>
        <w:rPr>
          <w:rFonts w:ascii="Times New Roman" w:hAnsi="Times New Roman" w:eastAsia="仿宋_GB2312"/>
          <w:bCs/>
          <w:sz w:val="32"/>
          <w:szCs w:val="32"/>
        </w:rPr>
        <w:t>2025年</w:t>
      </w:r>
      <w:r>
        <w:rPr>
          <w:rFonts w:hint="eastAsia" w:ascii="Times New Roman" w:hAnsi="Times New Roman" w:eastAsia="仿宋_GB2312"/>
          <w:bCs/>
          <w:sz w:val="32"/>
          <w:szCs w:val="32"/>
          <w:lang w:val="en-US" w:eastAsia="zh-CN"/>
        </w:rPr>
        <w:t>11</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28</w:t>
      </w:r>
      <w:r>
        <w:rPr>
          <w:rFonts w:ascii="Times New Roman" w:hAnsi="Times New Roman" w:eastAsia="仿宋_GB2312"/>
          <w:bCs/>
          <w:sz w:val="32"/>
          <w:szCs w:val="32"/>
        </w:rPr>
        <w:t>日</w:t>
      </w:r>
    </w:p>
    <w:p w14:paraId="2831443E">
      <w:pPr>
        <w:rPr>
          <w:rFonts w:ascii="Times New Roman" w:hAnsi="Times New Roman" w:eastAsia="黑体"/>
          <w:bCs/>
          <w:color w:val="000000"/>
          <w:kern w:val="0"/>
          <w:sz w:val="28"/>
          <w:szCs w:val="28"/>
        </w:rPr>
      </w:pPr>
      <w:r>
        <w:rPr>
          <w:rFonts w:ascii="Times New Roman" w:hAnsi="Times New Roman" w:eastAsia="黑体"/>
          <w:bCs/>
          <w:color w:val="000000"/>
          <w:kern w:val="0"/>
          <w:sz w:val="28"/>
          <w:szCs w:val="28"/>
        </w:rPr>
        <w:br w:type="page"/>
      </w:r>
    </w:p>
    <w:p w14:paraId="0513CD21">
      <w:pPr>
        <w:spacing w:line="560" w:lineRule="exact"/>
        <w:ind w:right="958" w:firstLine="643" w:firstLineChars="200"/>
        <w:jc w:val="center"/>
        <w:outlineLvl w:val="0"/>
        <w:rPr>
          <w:rFonts w:ascii="Times New Roman" w:hAnsi="Times New Roman"/>
          <w:b/>
          <w:sz w:val="32"/>
        </w:rPr>
      </w:pPr>
      <w:bookmarkStart w:id="36" w:name="_Toc32037"/>
      <w:bookmarkStart w:id="37" w:name="_Toc525"/>
      <w:bookmarkStart w:id="38" w:name="_Toc1476"/>
      <w:bookmarkStart w:id="39" w:name="_Toc11280"/>
      <w:r>
        <w:rPr>
          <w:rFonts w:ascii="Times New Roman" w:hAnsi="Times New Roman"/>
          <w:b/>
          <w:sz w:val="32"/>
        </w:rPr>
        <w:t>第二章  供应商须知</w:t>
      </w:r>
      <w:bookmarkEnd w:id="36"/>
      <w:bookmarkEnd w:id="37"/>
      <w:bookmarkEnd w:id="38"/>
      <w:bookmarkEnd w:id="39"/>
    </w:p>
    <w:p w14:paraId="63B10CDB">
      <w:pPr>
        <w:spacing w:line="560" w:lineRule="exact"/>
        <w:ind w:right="960" w:firstLine="643" w:firstLineChars="200"/>
        <w:jc w:val="center"/>
        <w:rPr>
          <w:rFonts w:ascii="Times New Roman" w:hAnsi="Times New Roman"/>
          <w:b/>
          <w:sz w:val="32"/>
        </w:rPr>
      </w:pPr>
    </w:p>
    <w:p w14:paraId="1A470B4C">
      <w:pPr>
        <w:adjustRightInd w:val="0"/>
        <w:snapToGrid w:val="0"/>
        <w:jc w:val="center"/>
        <w:outlineLvl w:val="1"/>
        <w:rPr>
          <w:rFonts w:ascii="Times New Roman" w:hAnsi="Times New Roman"/>
          <w:bCs/>
          <w:sz w:val="28"/>
          <w:szCs w:val="28"/>
        </w:rPr>
      </w:pPr>
      <w:bookmarkStart w:id="40" w:name="_Toc13888"/>
      <w:bookmarkStart w:id="41" w:name="_Toc27330"/>
      <w:bookmarkStart w:id="42" w:name="_Toc426312933"/>
      <w:bookmarkStart w:id="43" w:name="_Toc39675284"/>
      <w:bookmarkStart w:id="44" w:name="_Toc24294"/>
      <w:bookmarkStart w:id="45" w:name="_Toc289856476"/>
      <w:bookmarkStart w:id="46" w:name="_Toc1813"/>
      <w:bookmarkStart w:id="47" w:name="_Toc5644"/>
      <w:bookmarkStart w:id="48" w:name="_Toc391543278"/>
      <w:bookmarkStart w:id="49" w:name="_Toc433814077"/>
      <w:bookmarkStart w:id="50" w:name="_Toc15244"/>
      <w:bookmarkStart w:id="51" w:name="_Toc426313037"/>
      <w:bookmarkStart w:id="52" w:name="_Toc12476"/>
      <w:r>
        <w:rPr>
          <w:rFonts w:ascii="Times New Roman" w:hAnsi="Times New Roman"/>
          <w:bCs/>
          <w:sz w:val="28"/>
          <w:szCs w:val="28"/>
        </w:rPr>
        <w:t>供应商须知前附表</w:t>
      </w:r>
      <w:bookmarkEnd w:id="40"/>
      <w:bookmarkEnd w:id="41"/>
      <w:bookmarkEnd w:id="42"/>
      <w:bookmarkEnd w:id="43"/>
      <w:bookmarkEnd w:id="44"/>
      <w:bookmarkEnd w:id="45"/>
      <w:bookmarkEnd w:id="46"/>
      <w:bookmarkEnd w:id="47"/>
      <w:bookmarkEnd w:id="48"/>
      <w:bookmarkEnd w:id="49"/>
      <w:bookmarkEnd w:id="50"/>
      <w:bookmarkEnd w:id="51"/>
      <w:bookmarkEnd w:id="52"/>
    </w:p>
    <w:tbl>
      <w:tblPr>
        <w:tblStyle w:val="24"/>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4"/>
        <w:gridCol w:w="3689"/>
        <w:gridCol w:w="4807"/>
      </w:tblGrid>
      <w:tr w14:paraId="30B7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8" w:hRule="atLeast"/>
          <w:tblHeader/>
          <w:jc w:val="center"/>
        </w:trPr>
        <w:tc>
          <w:tcPr>
            <w:tcW w:w="554" w:type="dxa"/>
            <w:vAlign w:val="center"/>
          </w:tcPr>
          <w:p w14:paraId="32891F01">
            <w:pPr>
              <w:adjustRightInd w:val="0"/>
              <w:snapToGrid w:val="0"/>
              <w:spacing w:before="100" w:after="100" w:line="276" w:lineRule="auto"/>
              <w:jc w:val="center"/>
              <w:textAlignment w:val="baseline"/>
              <w:rPr>
                <w:rFonts w:ascii="Times New Roman" w:hAnsi="Times New Roman"/>
                <w:snapToGrid w:val="0"/>
                <w:kern w:val="0"/>
                <w:szCs w:val="21"/>
              </w:rPr>
            </w:pPr>
            <w:r>
              <w:rPr>
                <w:rFonts w:ascii="Times New Roman" w:hAnsi="Times New Roman"/>
                <w:snapToGrid w:val="0"/>
                <w:kern w:val="0"/>
                <w:szCs w:val="21"/>
              </w:rPr>
              <w:t>序号</w:t>
            </w:r>
          </w:p>
        </w:tc>
        <w:tc>
          <w:tcPr>
            <w:tcW w:w="3689" w:type="dxa"/>
            <w:vAlign w:val="center"/>
          </w:tcPr>
          <w:p w14:paraId="51772C46">
            <w:pPr>
              <w:adjustRightInd w:val="0"/>
              <w:snapToGrid w:val="0"/>
              <w:spacing w:before="100" w:after="100" w:line="276" w:lineRule="auto"/>
              <w:jc w:val="center"/>
              <w:textAlignment w:val="baseline"/>
              <w:rPr>
                <w:rFonts w:ascii="Times New Roman" w:hAnsi="Times New Roman"/>
                <w:snapToGrid w:val="0"/>
                <w:kern w:val="0"/>
                <w:szCs w:val="21"/>
              </w:rPr>
            </w:pPr>
            <w:r>
              <w:rPr>
                <w:rFonts w:ascii="Times New Roman" w:hAnsi="Times New Roman"/>
                <w:snapToGrid w:val="0"/>
                <w:kern w:val="0"/>
                <w:szCs w:val="21"/>
              </w:rPr>
              <w:t>条款名称</w:t>
            </w:r>
          </w:p>
        </w:tc>
        <w:tc>
          <w:tcPr>
            <w:tcW w:w="4807" w:type="dxa"/>
            <w:vAlign w:val="center"/>
          </w:tcPr>
          <w:p w14:paraId="63EA5B22">
            <w:pPr>
              <w:adjustRightInd w:val="0"/>
              <w:snapToGrid w:val="0"/>
              <w:spacing w:before="100" w:after="100" w:line="276" w:lineRule="auto"/>
              <w:jc w:val="center"/>
              <w:textAlignment w:val="baseline"/>
              <w:rPr>
                <w:rFonts w:ascii="Times New Roman" w:hAnsi="Times New Roman"/>
                <w:snapToGrid w:val="0"/>
                <w:kern w:val="0"/>
                <w:szCs w:val="21"/>
              </w:rPr>
            </w:pPr>
            <w:r>
              <w:rPr>
                <w:rFonts w:ascii="Times New Roman" w:hAnsi="Times New Roman"/>
                <w:snapToGrid w:val="0"/>
                <w:kern w:val="0"/>
                <w:szCs w:val="21"/>
              </w:rPr>
              <w:t>内    容</w:t>
            </w:r>
          </w:p>
        </w:tc>
      </w:tr>
      <w:tr w14:paraId="424C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7CA64D91">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w:t>
            </w:r>
          </w:p>
        </w:tc>
        <w:tc>
          <w:tcPr>
            <w:tcW w:w="3689" w:type="dxa"/>
            <w:vAlign w:val="center"/>
          </w:tcPr>
          <w:p w14:paraId="12FAA93E">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lang w:bidi="he-IL"/>
              </w:rPr>
              <w:t>项目名称</w:t>
            </w:r>
          </w:p>
        </w:tc>
        <w:tc>
          <w:tcPr>
            <w:tcW w:w="4807" w:type="dxa"/>
            <w:vAlign w:val="center"/>
          </w:tcPr>
          <w:p w14:paraId="353B62DA">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福建钱江水务有限公司融资服务项目-第</w:t>
            </w:r>
            <w:r>
              <w:rPr>
                <w:rFonts w:hint="eastAsia" w:ascii="Times New Roman" w:hAnsi="Times New Roman"/>
                <w:kern w:val="0"/>
                <w:szCs w:val="21"/>
                <w:lang w:bidi="he-IL"/>
              </w:rPr>
              <w:t>2</w:t>
            </w:r>
            <w:r>
              <w:rPr>
                <w:rFonts w:ascii="Times New Roman" w:hAnsi="Times New Roman"/>
                <w:kern w:val="0"/>
                <w:szCs w:val="21"/>
                <w:lang w:bidi="he-IL"/>
              </w:rPr>
              <w:t>标包</w:t>
            </w:r>
          </w:p>
        </w:tc>
      </w:tr>
      <w:tr w14:paraId="7B43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79FF7417">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2</w:t>
            </w:r>
          </w:p>
        </w:tc>
        <w:tc>
          <w:tcPr>
            <w:tcW w:w="3689" w:type="dxa"/>
            <w:vAlign w:val="center"/>
          </w:tcPr>
          <w:p w14:paraId="58158A32">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采购人</w:t>
            </w:r>
          </w:p>
        </w:tc>
        <w:tc>
          <w:tcPr>
            <w:tcW w:w="4807" w:type="dxa"/>
            <w:vAlign w:val="center"/>
          </w:tcPr>
          <w:p w14:paraId="4D63731C">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福建钱江水务有限公司</w:t>
            </w:r>
          </w:p>
        </w:tc>
      </w:tr>
      <w:tr w14:paraId="2743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747306B7">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3</w:t>
            </w:r>
          </w:p>
        </w:tc>
        <w:tc>
          <w:tcPr>
            <w:tcW w:w="3689" w:type="dxa"/>
            <w:vAlign w:val="center"/>
          </w:tcPr>
          <w:p w14:paraId="7BD59309">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采购内容</w:t>
            </w:r>
          </w:p>
        </w:tc>
        <w:tc>
          <w:tcPr>
            <w:tcW w:w="4807" w:type="dxa"/>
            <w:vAlign w:val="center"/>
          </w:tcPr>
          <w:p w14:paraId="4B76CA83">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详见第一章</w:t>
            </w:r>
            <w:bookmarkStart w:id="53" w:name="_Hlk174097443"/>
            <w:r>
              <w:rPr>
                <w:rFonts w:ascii="Times New Roman" w:hAnsi="Times New Roman"/>
                <w:kern w:val="0"/>
                <w:szCs w:val="21"/>
                <w:lang w:bidi="he-IL"/>
              </w:rPr>
              <w:t>采购公告</w:t>
            </w:r>
            <w:bookmarkEnd w:id="53"/>
          </w:p>
        </w:tc>
      </w:tr>
      <w:tr w14:paraId="1534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9" w:hRule="atLeast"/>
          <w:jc w:val="center"/>
        </w:trPr>
        <w:tc>
          <w:tcPr>
            <w:tcW w:w="554" w:type="dxa"/>
            <w:vAlign w:val="center"/>
          </w:tcPr>
          <w:p w14:paraId="72504E18">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4</w:t>
            </w:r>
          </w:p>
        </w:tc>
        <w:tc>
          <w:tcPr>
            <w:tcW w:w="3689" w:type="dxa"/>
            <w:vAlign w:val="center"/>
          </w:tcPr>
          <w:p w14:paraId="0DD0EB07">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最高限价</w:t>
            </w:r>
          </w:p>
          <w:p w14:paraId="22D52C35">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（实质性要求）★</w:t>
            </w:r>
          </w:p>
        </w:tc>
        <w:tc>
          <w:tcPr>
            <w:tcW w:w="4807" w:type="dxa"/>
            <w:vAlign w:val="center"/>
          </w:tcPr>
          <w:p w14:paraId="670DBDBA">
            <w:pPr>
              <w:adjustRightInd w:val="0"/>
              <w:snapToGrid w:val="0"/>
              <w:jc w:val="left"/>
              <w:textAlignment w:val="baseline"/>
              <w:rPr>
                <w:rFonts w:ascii="Times New Roman" w:hAnsi="Times New Roman"/>
                <w:kern w:val="0"/>
                <w:szCs w:val="21"/>
                <w:lang w:bidi="he-IL"/>
              </w:rPr>
            </w:pPr>
            <w:r>
              <w:rPr>
                <w:rFonts w:ascii="Times New Roman" w:hAnsi="Times New Roman"/>
                <w:kern w:val="0"/>
                <w:szCs w:val="21"/>
                <w:lang w:bidi="he-IL"/>
              </w:rPr>
              <w:t>贷款报价利率（或综合成本）不高于同期贷款市场报价利率(LPR)。2025年1</w:t>
            </w:r>
            <w:r>
              <w:rPr>
                <w:rFonts w:hint="eastAsia" w:ascii="Times New Roman" w:hAnsi="Times New Roman"/>
                <w:kern w:val="0"/>
                <w:szCs w:val="21"/>
                <w:lang w:bidi="he-IL"/>
              </w:rPr>
              <w:t>1</w:t>
            </w:r>
            <w:r>
              <w:rPr>
                <w:rFonts w:ascii="Times New Roman" w:hAnsi="Times New Roman"/>
                <w:kern w:val="0"/>
                <w:szCs w:val="21"/>
                <w:lang w:bidi="he-IL"/>
              </w:rPr>
              <w:t>月20日贷款市场报价利率(LPR)：1年期 LPR 为3.</w:t>
            </w:r>
            <w:r>
              <w:rPr>
                <w:rFonts w:hint="eastAsia" w:ascii="Times New Roman" w:hAnsi="Times New Roman"/>
                <w:kern w:val="0"/>
                <w:szCs w:val="21"/>
                <w:lang w:bidi="he-IL"/>
              </w:rPr>
              <w:t>0</w:t>
            </w:r>
            <w:r>
              <w:rPr>
                <w:rFonts w:ascii="Times New Roman" w:hAnsi="Times New Roman"/>
                <w:kern w:val="0"/>
                <w:szCs w:val="21"/>
                <w:lang w:bidi="he-IL"/>
              </w:rPr>
              <w:t>0%</w:t>
            </w:r>
          </w:p>
        </w:tc>
      </w:tr>
      <w:tr w14:paraId="6445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554" w:type="dxa"/>
            <w:vAlign w:val="center"/>
          </w:tcPr>
          <w:p w14:paraId="1628E263">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5</w:t>
            </w:r>
          </w:p>
        </w:tc>
        <w:tc>
          <w:tcPr>
            <w:tcW w:w="3689" w:type="dxa"/>
            <w:vAlign w:val="center"/>
          </w:tcPr>
          <w:p w14:paraId="3981B5B9">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响应报价的</w:t>
            </w:r>
          </w:p>
          <w:p w14:paraId="4025582B">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其他要求</w:t>
            </w:r>
          </w:p>
        </w:tc>
        <w:tc>
          <w:tcPr>
            <w:tcW w:w="4807" w:type="dxa"/>
            <w:vAlign w:val="center"/>
          </w:tcPr>
          <w:p w14:paraId="73B43AEA">
            <w:pPr>
              <w:adjustRightInd w:val="0"/>
              <w:snapToGrid w:val="0"/>
              <w:jc w:val="left"/>
              <w:textAlignment w:val="baseline"/>
              <w:rPr>
                <w:rFonts w:ascii="Times New Roman" w:hAnsi="Times New Roman"/>
                <w:kern w:val="0"/>
                <w:szCs w:val="21"/>
                <w:lang w:bidi="he-IL"/>
              </w:rPr>
            </w:pPr>
            <w:r>
              <w:rPr>
                <w:rFonts w:ascii="Times New Roman" w:hAnsi="Times New Roman"/>
                <w:kern w:val="0"/>
                <w:szCs w:val="21"/>
                <w:u w:val="single"/>
                <w:lang w:bidi="he-IL"/>
              </w:rPr>
              <w:t>报价内容需包含贷款利率、贷款金额、贷款期限、担保方式、用款权限、放款时间及其他附加条件、贷款用途要求</w:t>
            </w:r>
          </w:p>
        </w:tc>
      </w:tr>
      <w:tr w14:paraId="6F73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4BDA7AFC">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6</w:t>
            </w:r>
          </w:p>
        </w:tc>
        <w:tc>
          <w:tcPr>
            <w:tcW w:w="3689" w:type="dxa"/>
            <w:vAlign w:val="center"/>
          </w:tcPr>
          <w:p w14:paraId="17AD05CB">
            <w:pPr>
              <w:spacing w:before="40" w:after="40"/>
              <w:jc w:val="center"/>
              <w:rPr>
                <w:rFonts w:ascii="Times New Roman" w:hAnsi="Times New Roman"/>
                <w:kern w:val="0"/>
                <w:szCs w:val="21"/>
                <w:lang w:bidi="he-IL"/>
              </w:rPr>
            </w:pPr>
            <w:r>
              <w:rPr>
                <w:rFonts w:ascii="Times New Roman" w:hAnsi="Times New Roman"/>
                <w:kern w:val="0"/>
                <w:szCs w:val="21"/>
                <w:lang w:bidi="he-IL"/>
              </w:rPr>
              <w:t>响应人提出答疑澄清的截止时间</w:t>
            </w:r>
          </w:p>
        </w:tc>
        <w:tc>
          <w:tcPr>
            <w:tcW w:w="4807" w:type="dxa"/>
            <w:vAlign w:val="center"/>
          </w:tcPr>
          <w:p w14:paraId="63C3F3F7">
            <w:pPr>
              <w:spacing w:before="40" w:after="40"/>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2</w:t>
            </w:r>
            <w:r>
              <w:rPr>
                <w:rFonts w:ascii="Times New Roman" w:hAnsi="Times New Roman"/>
                <w:kern w:val="0"/>
                <w:szCs w:val="21"/>
                <w:lang w:bidi="he-IL"/>
              </w:rPr>
              <w:t>日12时00分前</w:t>
            </w:r>
          </w:p>
        </w:tc>
      </w:tr>
      <w:tr w14:paraId="641A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344DED29">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lang w:bidi="he-IL"/>
              </w:rPr>
              <w:t>7</w:t>
            </w:r>
          </w:p>
        </w:tc>
        <w:tc>
          <w:tcPr>
            <w:tcW w:w="3689" w:type="dxa"/>
            <w:vAlign w:val="center"/>
          </w:tcPr>
          <w:p w14:paraId="2C901EEE">
            <w:pPr>
              <w:spacing w:before="40" w:after="40"/>
              <w:jc w:val="center"/>
              <w:rPr>
                <w:rFonts w:ascii="Times New Roman" w:hAnsi="Times New Roman"/>
                <w:kern w:val="0"/>
                <w:szCs w:val="21"/>
                <w:lang w:bidi="he-IL"/>
              </w:rPr>
            </w:pPr>
            <w:r>
              <w:rPr>
                <w:rFonts w:ascii="Times New Roman" w:hAnsi="Times New Roman"/>
                <w:kern w:val="0"/>
                <w:szCs w:val="21"/>
                <w:lang w:bidi="he-IL"/>
              </w:rPr>
              <w:t>采购人澄清答复</w:t>
            </w:r>
          </w:p>
          <w:p w14:paraId="2FFF4C8E">
            <w:pPr>
              <w:spacing w:before="40" w:after="40"/>
              <w:jc w:val="center"/>
              <w:rPr>
                <w:rFonts w:ascii="Times New Roman" w:hAnsi="Times New Roman"/>
                <w:kern w:val="0"/>
                <w:szCs w:val="21"/>
                <w:lang w:bidi="he-IL"/>
              </w:rPr>
            </w:pPr>
            <w:r>
              <w:rPr>
                <w:rFonts w:ascii="Times New Roman" w:hAnsi="Times New Roman"/>
                <w:kern w:val="0"/>
                <w:szCs w:val="21"/>
                <w:lang w:bidi="he-IL"/>
              </w:rPr>
              <w:t>的截止时间</w:t>
            </w:r>
          </w:p>
        </w:tc>
        <w:tc>
          <w:tcPr>
            <w:tcW w:w="4807" w:type="dxa"/>
            <w:vAlign w:val="center"/>
          </w:tcPr>
          <w:p w14:paraId="7028B0FC">
            <w:pPr>
              <w:spacing w:before="40" w:after="40"/>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2</w:t>
            </w:r>
            <w:r>
              <w:rPr>
                <w:rFonts w:ascii="Times New Roman" w:hAnsi="Times New Roman"/>
                <w:kern w:val="0"/>
                <w:szCs w:val="21"/>
                <w:lang w:bidi="he-IL"/>
              </w:rPr>
              <w:t>日17时00分前</w:t>
            </w:r>
          </w:p>
        </w:tc>
      </w:tr>
      <w:tr w14:paraId="18FB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6D55169A">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8</w:t>
            </w:r>
          </w:p>
        </w:tc>
        <w:tc>
          <w:tcPr>
            <w:tcW w:w="3689" w:type="dxa"/>
            <w:vAlign w:val="center"/>
          </w:tcPr>
          <w:p w14:paraId="74511511">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服务质量标准</w:t>
            </w:r>
          </w:p>
        </w:tc>
        <w:tc>
          <w:tcPr>
            <w:tcW w:w="4807" w:type="dxa"/>
            <w:vAlign w:val="center"/>
          </w:tcPr>
          <w:p w14:paraId="65A22895">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详见第五章</w:t>
            </w:r>
          </w:p>
        </w:tc>
      </w:tr>
      <w:tr w14:paraId="73D1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0C7231E8">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9</w:t>
            </w:r>
          </w:p>
        </w:tc>
        <w:tc>
          <w:tcPr>
            <w:tcW w:w="3689" w:type="dxa"/>
            <w:vAlign w:val="center"/>
          </w:tcPr>
          <w:p w14:paraId="13F14369">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lang w:bidi="he-IL"/>
              </w:rPr>
              <w:t>报价有效期</w:t>
            </w:r>
          </w:p>
        </w:tc>
        <w:tc>
          <w:tcPr>
            <w:tcW w:w="4807" w:type="dxa"/>
            <w:vAlign w:val="center"/>
          </w:tcPr>
          <w:p w14:paraId="29B3DA7A">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报价截止日后90天（自然日）。</w:t>
            </w:r>
          </w:p>
        </w:tc>
      </w:tr>
      <w:tr w14:paraId="2C21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54" w:type="dxa"/>
            <w:vAlign w:val="center"/>
          </w:tcPr>
          <w:p w14:paraId="40237FBD">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10</w:t>
            </w:r>
          </w:p>
        </w:tc>
        <w:tc>
          <w:tcPr>
            <w:tcW w:w="3689" w:type="dxa"/>
            <w:vAlign w:val="center"/>
          </w:tcPr>
          <w:p w14:paraId="2CE85A97">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供应商要求澄清询比文件的截止时间</w:t>
            </w:r>
          </w:p>
        </w:tc>
        <w:tc>
          <w:tcPr>
            <w:tcW w:w="4807" w:type="dxa"/>
            <w:vAlign w:val="center"/>
          </w:tcPr>
          <w:p w14:paraId="68E82008">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3</w:t>
            </w:r>
            <w:r>
              <w:rPr>
                <w:rFonts w:ascii="Times New Roman" w:hAnsi="Times New Roman"/>
                <w:kern w:val="0"/>
                <w:szCs w:val="21"/>
                <w:lang w:bidi="he-IL"/>
              </w:rPr>
              <w:t>日12：00前</w:t>
            </w:r>
          </w:p>
        </w:tc>
      </w:tr>
      <w:tr w14:paraId="4499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2371271D">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rPr>
              <w:t>11</w:t>
            </w:r>
          </w:p>
        </w:tc>
        <w:tc>
          <w:tcPr>
            <w:tcW w:w="3689" w:type="dxa"/>
            <w:vAlign w:val="center"/>
          </w:tcPr>
          <w:p w14:paraId="46F638CF">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供应商确认收到询比文件澄清的时间</w:t>
            </w:r>
          </w:p>
        </w:tc>
        <w:tc>
          <w:tcPr>
            <w:tcW w:w="4807" w:type="dxa"/>
            <w:vAlign w:val="center"/>
          </w:tcPr>
          <w:p w14:paraId="6EEE3CA8">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3</w:t>
            </w:r>
            <w:r>
              <w:rPr>
                <w:rFonts w:ascii="Times New Roman" w:hAnsi="Times New Roman"/>
                <w:kern w:val="0"/>
                <w:szCs w:val="21"/>
                <w:lang w:bidi="he-IL"/>
              </w:rPr>
              <w:t>日17：00前</w:t>
            </w:r>
          </w:p>
        </w:tc>
      </w:tr>
      <w:tr w14:paraId="2C5E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5E972B99">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12</w:t>
            </w:r>
          </w:p>
        </w:tc>
        <w:tc>
          <w:tcPr>
            <w:tcW w:w="3689" w:type="dxa"/>
            <w:vAlign w:val="center"/>
          </w:tcPr>
          <w:p w14:paraId="68707DDF">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供应商确认收到询比文件修改的时间</w:t>
            </w:r>
          </w:p>
        </w:tc>
        <w:tc>
          <w:tcPr>
            <w:tcW w:w="4807" w:type="dxa"/>
            <w:vAlign w:val="center"/>
          </w:tcPr>
          <w:p w14:paraId="3E99C66D">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3</w:t>
            </w:r>
            <w:r>
              <w:rPr>
                <w:rFonts w:ascii="Times New Roman" w:hAnsi="Times New Roman"/>
                <w:kern w:val="0"/>
                <w:szCs w:val="21"/>
                <w:lang w:bidi="he-IL"/>
              </w:rPr>
              <w:t>日17：00前</w:t>
            </w:r>
          </w:p>
        </w:tc>
      </w:tr>
      <w:tr w14:paraId="62EE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33B5AB2D">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13</w:t>
            </w:r>
          </w:p>
        </w:tc>
        <w:tc>
          <w:tcPr>
            <w:tcW w:w="3689" w:type="dxa"/>
            <w:vAlign w:val="center"/>
          </w:tcPr>
          <w:p w14:paraId="5B74B35D">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szCs w:val="21"/>
                <w:lang w:val="zh-CN"/>
              </w:rPr>
              <w:t>评审办法</w:t>
            </w:r>
          </w:p>
        </w:tc>
        <w:tc>
          <w:tcPr>
            <w:tcW w:w="4807" w:type="dxa"/>
            <w:vAlign w:val="center"/>
          </w:tcPr>
          <w:p w14:paraId="2711E4B5">
            <w:pPr>
              <w:rPr>
                <w:rFonts w:ascii="Times New Roman" w:hAnsi="Times New Roman"/>
              </w:rPr>
            </w:pPr>
            <w:r>
              <w:rPr>
                <w:rFonts w:ascii="Times New Roman" w:hAnsi="Times New Roman"/>
                <w:kern w:val="0"/>
                <w:szCs w:val="21"/>
                <w:lang w:bidi="he-IL"/>
              </w:rPr>
              <w:t>评审采用综合评分法，总分100分，报价分</w:t>
            </w:r>
            <w:r>
              <w:rPr>
                <w:rFonts w:hint="eastAsia" w:ascii="Times New Roman" w:hAnsi="Times New Roman"/>
                <w:kern w:val="0"/>
                <w:szCs w:val="21"/>
                <w:lang w:bidi="he-IL"/>
              </w:rPr>
              <w:t>6</w:t>
            </w:r>
            <w:r>
              <w:rPr>
                <w:rFonts w:ascii="Times New Roman" w:hAnsi="Times New Roman"/>
                <w:kern w:val="0"/>
                <w:szCs w:val="21"/>
                <w:lang w:bidi="he-IL"/>
              </w:rPr>
              <w:t>0分，技术分</w:t>
            </w:r>
            <w:r>
              <w:rPr>
                <w:rFonts w:hint="eastAsia" w:ascii="Times New Roman" w:hAnsi="Times New Roman"/>
                <w:kern w:val="0"/>
                <w:szCs w:val="21"/>
                <w:lang w:bidi="he-IL"/>
              </w:rPr>
              <w:t>4</w:t>
            </w:r>
            <w:r>
              <w:rPr>
                <w:rFonts w:ascii="Times New Roman" w:hAnsi="Times New Roman"/>
                <w:kern w:val="0"/>
                <w:szCs w:val="21"/>
                <w:lang w:bidi="he-IL"/>
              </w:rPr>
              <w:t>0分。评标小组根据响应文件进行资格和符合性审查后，对通过资格和符合性审查的单位按照采购文件的要求进行详细评审，推荐得分最高的单位为成交人</w:t>
            </w:r>
            <w:r>
              <w:rPr>
                <w:rFonts w:ascii="Times New Roman" w:hAnsi="Times New Roman"/>
              </w:rPr>
              <w:t>。若成交单位授信要求无法满足1000万元或无法提供贷款服务，将继续由第二名提供剩余贷款服务，直至满足公司融资需求。</w:t>
            </w:r>
          </w:p>
          <w:p w14:paraId="747FB922">
            <w:pPr>
              <w:adjustRightInd w:val="0"/>
              <w:snapToGrid w:val="0"/>
              <w:spacing w:before="100" w:after="100"/>
              <w:jc w:val="left"/>
              <w:textAlignment w:val="baseline"/>
              <w:rPr>
                <w:rFonts w:ascii="Times New Roman" w:hAnsi="Times New Roman"/>
                <w:kern w:val="0"/>
                <w:szCs w:val="21"/>
                <w:lang w:bidi="he-IL"/>
              </w:rPr>
            </w:pPr>
            <w:r>
              <w:rPr>
                <w:rFonts w:ascii="Times New Roman" w:hAnsi="Times New Roman"/>
                <w:kern w:val="0"/>
                <w:szCs w:val="21"/>
                <w:lang w:bidi="he-IL"/>
              </w:rPr>
              <w:t>若供应商出现超低报价，有可能影响服务质量和不能诚信履约的，评审小组将要求该供应商作出书面说明并提供相关证明材料，以确定供应商是否以低于企业成本价报价。若评审小组认定供应商以低于企业成本价报价且供应商不能合理说明或不能提供相关证明材料，导致采购人的利益得不到保障，则该供应商的响应作为无效响应处理。</w:t>
            </w:r>
          </w:p>
        </w:tc>
      </w:tr>
      <w:tr w14:paraId="3637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54" w:type="dxa"/>
            <w:vAlign w:val="center"/>
          </w:tcPr>
          <w:p w14:paraId="6C474524">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14</w:t>
            </w:r>
          </w:p>
        </w:tc>
        <w:tc>
          <w:tcPr>
            <w:tcW w:w="3689" w:type="dxa"/>
            <w:vAlign w:val="center"/>
          </w:tcPr>
          <w:p w14:paraId="05345817">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szCs w:val="21"/>
                <w:lang w:val="zh-CN"/>
              </w:rPr>
              <w:t>询比担保</w:t>
            </w:r>
          </w:p>
        </w:tc>
        <w:tc>
          <w:tcPr>
            <w:tcW w:w="4807" w:type="dxa"/>
            <w:vAlign w:val="center"/>
          </w:tcPr>
          <w:p w14:paraId="44240DF2">
            <w:pPr>
              <w:adjustRightInd w:val="0"/>
              <w:snapToGrid w:val="0"/>
              <w:spacing w:before="100" w:after="100" w:line="276" w:lineRule="auto"/>
              <w:textAlignment w:val="baseline"/>
              <w:rPr>
                <w:rFonts w:ascii="Times New Roman" w:hAnsi="Times New Roman"/>
                <w:kern w:val="0"/>
                <w:szCs w:val="21"/>
                <w:lang w:bidi="he-IL"/>
              </w:rPr>
            </w:pPr>
            <w:r>
              <w:rPr>
                <w:rFonts w:ascii="Times New Roman" w:hAnsi="Times New Roman"/>
                <w:kern w:val="0"/>
                <w:sz w:val="22"/>
                <w:szCs w:val="21"/>
              </w:rPr>
              <w:t>是否要求成交人提交询比保证金：</w:t>
            </w:r>
            <w:r>
              <w:rPr>
                <w:rFonts w:ascii="Times New Roman" w:hAnsi="Times New Roman"/>
                <w:kern w:val="0"/>
                <w:sz w:val="22"/>
                <w:szCs w:val="21"/>
                <w:u w:val="single"/>
              </w:rPr>
              <w:t>不要求</w:t>
            </w:r>
          </w:p>
        </w:tc>
      </w:tr>
      <w:tr w14:paraId="5FCA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18D1894B">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15</w:t>
            </w:r>
          </w:p>
        </w:tc>
        <w:tc>
          <w:tcPr>
            <w:tcW w:w="3689" w:type="dxa"/>
            <w:vAlign w:val="center"/>
          </w:tcPr>
          <w:p w14:paraId="398CCDC6">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履约担保</w:t>
            </w:r>
          </w:p>
        </w:tc>
        <w:tc>
          <w:tcPr>
            <w:tcW w:w="4807" w:type="dxa"/>
            <w:vAlign w:val="center"/>
          </w:tcPr>
          <w:p w14:paraId="69BF025D">
            <w:pPr>
              <w:autoSpaceDE w:val="0"/>
              <w:autoSpaceDN w:val="0"/>
              <w:spacing w:before="93" w:beforeLines="30" w:after="93" w:afterLines="30"/>
              <w:jc w:val="left"/>
              <w:textAlignment w:val="bottom"/>
              <w:rPr>
                <w:rFonts w:ascii="Times New Roman" w:hAnsi="Times New Roman"/>
                <w:i/>
                <w:iCs/>
                <w:kern w:val="0"/>
                <w:sz w:val="22"/>
                <w:szCs w:val="21"/>
                <w:u w:val="single"/>
              </w:rPr>
            </w:pPr>
            <w:r>
              <w:rPr>
                <w:rFonts w:ascii="Times New Roman" w:hAnsi="Times New Roman"/>
                <w:kern w:val="0"/>
                <w:sz w:val="22"/>
                <w:szCs w:val="21"/>
              </w:rPr>
              <w:t>是否要求成交人提交履约保证金：</w:t>
            </w:r>
            <w:r>
              <w:rPr>
                <w:rFonts w:ascii="Times New Roman" w:hAnsi="Times New Roman"/>
                <w:kern w:val="0"/>
                <w:sz w:val="22"/>
                <w:szCs w:val="21"/>
                <w:u w:val="single"/>
              </w:rPr>
              <w:t>不要求</w:t>
            </w:r>
          </w:p>
        </w:tc>
      </w:tr>
      <w:tr w14:paraId="1AB9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7A10E14C">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16</w:t>
            </w:r>
          </w:p>
        </w:tc>
        <w:tc>
          <w:tcPr>
            <w:tcW w:w="3689" w:type="dxa"/>
            <w:vAlign w:val="center"/>
          </w:tcPr>
          <w:p w14:paraId="74A0272D">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响应文件装订</w:t>
            </w:r>
          </w:p>
        </w:tc>
        <w:tc>
          <w:tcPr>
            <w:tcW w:w="4807" w:type="dxa"/>
            <w:vAlign w:val="center"/>
          </w:tcPr>
          <w:p w14:paraId="3F0BF23E">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1.响应文件包含</w:t>
            </w:r>
            <w:r>
              <w:rPr>
                <w:rFonts w:ascii="Times New Roman" w:hAnsi="Times New Roman"/>
                <w:szCs w:val="21"/>
              </w:rPr>
              <w:t>资格部分、</w:t>
            </w:r>
            <w:r>
              <w:rPr>
                <w:rFonts w:ascii="Times New Roman" w:hAnsi="Times New Roman"/>
                <w:szCs w:val="21"/>
                <w:lang w:val="zh-CN"/>
              </w:rPr>
              <w:t>报价部分和</w:t>
            </w:r>
            <w:r>
              <w:rPr>
                <w:rFonts w:ascii="Times New Roman" w:hAnsi="Times New Roman"/>
                <w:szCs w:val="21"/>
              </w:rPr>
              <w:t>技术</w:t>
            </w:r>
            <w:r>
              <w:rPr>
                <w:rFonts w:ascii="Times New Roman" w:hAnsi="Times New Roman"/>
                <w:szCs w:val="21"/>
                <w:lang w:val="zh-CN"/>
              </w:rPr>
              <w:t>部分。</w:t>
            </w:r>
          </w:p>
          <w:p w14:paraId="485908F8">
            <w:pPr>
              <w:autoSpaceDE w:val="0"/>
              <w:autoSpaceDN w:val="0"/>
              <w:spacing w:before="93" w:beforeLines="30" w:after="93" w:afterLines="30"/>
              <w:jc w:val="left"/>
              <w:textAlignment w:val="bottom"/>
              <w:rPr>
                <w:rFonts w:ascii="Times New Roman" w:hAnsi="Times New Roman"/>
                <w:i/>
                <w:iCs/>
                <w:kern w:val="0"/>
                <w:sz w:val="22"/>
                <w:szCs w:val="21"/>
                <w:u w:val="single"/>
              </w:rPr>
            </w:pPr>
            <w:r>
              <w:rPr>
                <w:rFonts w:ascii="Times New Roman" w:hAnsi="Times New Roman"/>
                <w:szCs w:val="21"/>
                <w:lang w:val="zh-CN"/>
              </w:rPr>
              <w:t>2.响应文件为A4幅面，胶装成册，否则其报价无效。</w:t>
            </w:r>
          </w:p>
        </w:tc>
      </w:tr>
      <w:tr w14:paraId="0CAB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67F0B4C3">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17</w:t>
            </w:r>
          </w:p>
        </w:tc>
        <w:tc>
          <w:tcPr>
            <w:tcW w:w="3689" w:type="dxa"/>
            <w:vAlign w:val="center"/>
          </w:tcPr>
          <w:p w14:paraId="18539CD2">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响应文件份数</w:t>
            </w:r>
          </w:p>
        </w:tc>
        <w:tc>
          <w:tcPr>
            <w:tcW w:w="4807" w:type="dxa"/>
            <w:vAlign w:val="center"/>
          </w:tcPr>
          <w:p w14:paraId="5AB3E10E">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正本壹份，副本</w:t>
            </w:r>
            <w:r>
              <w:rPr>
                <w:rFonts w:ascii="Times New Roman" w:hAnsi="Times New Roman"/>
                <w:sz w:val="22"/>
              </w:rPr>
              <w:t>叁</w:t>
            </w:r>
            <w:r>
              <w:rPr>
                <w:rFonts w:ascii="Times New Roman" w:hAnsi="Times New Roman"/>
                <w:szCs w:val="21"/>
                <w:lang w:val="zh-CN"/>
              </w:rPr>
              <w:t>份，每份响应文件须清楚标明“正本”或“副本”字样，一旦正本和副本不符，以正本为准。</w:t>
            </w:r>
          </w:p>
          <w:p w14:paraId="41CDBBD7">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电子版响应文件一份（正本盖章扫描件，PDF格式，以U盘形式随纸质文件一并密封提交）。当电子版文件和纸质正本文件不一致时，以纸质正本文件为准。电子版文件用于辅助评标和存档，供应商需承担前述不一致造成的不利后果</w:t>
            </w:r>
          </w:p>
        </w:tc>
      </w:tr>
      <w:tr w14:paraId="0D93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3BC46B92">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18</w:t>
            </w:r>
          </w:p>
        </w:tc>
        <w:tc>
          <w:tcPr>
            <w:tcW w:w="3689" w:type="dxa"/>
            <w:vAlign w:val="center"/>
          </w:tcPr>
          <w:p w14:paraId="795FA377">
            <w:pPr>
              <w:spacing w:before="40" w:after="40"/>
              <w:jc w:val="center"/>
              <w:rPr>
                <w:rFonts w:ascii="Times New Roman" w:hAnsi="Times New Roman"/>
                <w:szCs w:val="21"/>
                <w:lang w:val="zh-CN"/>
              </w:rPr>
            </w:pPr>
            <w:r>
              <w:rPr>
                <w:rFonts w:ascii="Times New Roman" w:hAnsi="Times New Roman"/>
                <w:szCs w:val="21"/>
                <w:lang w:val="zh-CN"/>
              </w:rPr>
              <w:t>递交响应文件地点</w:t>
            </w:r>
          </w:p>
        </w:tc>
        <w:tc>
          <w:tcPr>
            <w:tcW w:w="4807" w:type="dxa"/>
            <w:vAlign w:val="center"/>
          </w:tcPr>
          <w:p w14:paraId="650F0DDB">
            <w:pPr>
              <w:spacing w:before="40" w:after="40"/>
              <w:rPr>
                <w:rFonts w:ascii="Times New Roman" w:hAnsi="Times New Roman"/>
                <w:szCs w:val="21"/>
                <w:lang w:val="zh-CN"/>
              </w:rPr>
            </w:pPr>
            <w:r>
              <w:rPr>
                <w:rFonts w:ascii="Times New Roman" w:hAnsi="Times New Roman"/>
                <w:szCs w:val="21"/>
                <w:lang w:val="zh-CN"/>
              </w:rPr>
              <w:t>见采购公告</w:t>
            </w:r>
          </w:p>
        </w:tc>
      </w:tr>
      <w:tr w14:paraId="08B9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6BE3DEB0">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19</w:t>
            </w:r>
          </w:p>
        </w:tc>
        <w:tc>
          <w:tcPr>
            <w:tcW w:w="3689" w:type="dxa"/>
            <w:vAlign w:val="center"/>
          </w:tcPr>
          <w:p w14:paraId="1FE2F967">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是否退还响应文件</w:t>
            </w:r>
          </w:p>
        </w:tc>
        <w:tc>
          <w:tcPr>
            <w:tcW w:w="4807" w:type="dxa"/>
            <w:vAlign w:val="center"/>
          </w:tcPr>
          <w:p w14:paraId="6186BACF">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不退还响应文件</w:t>
            </w:r>
          </w:p>
        </w:tc>
      </w:tr>
      <w:tr w14:paraId="2B4E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4FADA1B9">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20</w:t>
            </w:r>
          </w:p>
        </w:tc>
        <w:tc>
          <w:tcPr>
            <w:tcW w:w="3689" w:type="dxa"/>
            <w:vAlign w:val="center"/>
          </w:tcPr>
          <w:p w14:paraId="53221990">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评审</w:t>
            </w:r>
            <w:r>
              <w:rPr>
                <w:rFonts w:ascii="Times New Roman" w:hAnsi="Times New Roman"/>
                <w:szCs w:val="21"/>
              </w:rPr>
              <w:t>小</w:t>
            </w:r>
            <w:r>
              <w:rPr>
                <w:rFonts w:ascii="Times New Roman" w:hAnsi="Times New Roman"/>
                <w:szCs w:val="21"/>
                <w:lang w:val="zh-CN"/>
              </w:rPr>
              <w:t>组</w:t>
            </w:r>
          </w:p>
        </w:tc>
        <w:tc>
          <w:tcPr>
            <w:tcW w:w="4807" w:type="dxa"/>
            <w:vAlign w:val="center"/>
          </w:tcPr>
          <w:p w14:paraId="5E3B7D9B">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评审</w:t>
            </w:r>
            <w:r>
              <w:rPr>
                <w:rFonts w:ascii="Times New Roman" w:hAnsi="Times New Roman"/>
                <w:szCs w:val="21"/>
              </w:rPr>
              <w:t>小</w:t>
            </w:r>
            <w:r>
              <w:rPr>
                <w:rFonts w:ascii="Times New Roman" w:hAnsi="Times New Roman"/>
                <w:szCs w:val="21"/>
                <w:lang w:val="zh-CN"/>
              </w:rPr>
              <w:t>组由采购人组建，为</w:t>
            </w:r>
            <w:r>
              <w:rPr>
                <w:rFonts w:ascii="Times New Roman" w:hAnsi="Times New Roman"/>
                <w:szCs w:val="21"/>
                <w:u w:val="single"/>
                <w:lang w:val="zh-CN"/>
              </w:rPr>
              <w:t xml:space="preserve"> </w:t>
            </w:r>
            <w:r>
              <w:rPr>
                <w:rFonts w:ascii="Times New Roman" w:hAnsi="Times New Roman"/>
                <w:szCs w:val="21"/>
                <w:u w:val="single"/>
              </w:rPr>
              <w:t xml:space="preserve">3 </w:t>
            </w:r>
            <w:r>
              <w:rPr>
                <w:rFonts w:ascii="Times New Roman" w:hAnsi="Times New Roman"/>
                <w:szCs w:val="21"/>
                <w:lang w:val="zh-CN"/>
              </w:rPr>
              <w:t>人及以上单数组成。</w:t>
            </w:r>
          </w:p>
        </w:tc>
      </w:tr>
      <w:tr w14:paraId="6CBD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7F20B595">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21</w:t>
            </w:r>
          </w:p>
        </w:tc>
        <w:tc>
          <w:tcPr>
            <w:tcW w:w="3689" w:type="dxa"/>
            <w:vAlign w:val="center"/>
          </w:tcPr>
          <w:p w14:paraId="24E3145C">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pacing w:val="-4"/>
                <w:szCs w:val="21"/>
                <w:lang w:val="zh-CN"/>
              </w:rPr>
              <w:t>是否授权专家组确定成交人</w:t>
            </w:r>
          </w:p>
        </w:tc>
        <w:tc>
          <w:tcPr>
            <w:tcW w:w="4807" w:type="dxa"/>
            <w:vAlign w:val="center"/>
          </w:tcPr>
          <w:p w14:paraId="3690D162">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否，推荐的成交候选人数：</w:t>
            </w:r>
            <w:r>
              <w:rPr>
                <w:rFonts w:ascii="Times New Roman" w:hAnsi="Times New Roman"/>
                <w:szCs w:val="21"/>
              </w:rPr>
              <w:t xml:space="preserve"> 3</w:t>
            </w:r>
            <w:r>
              <w:rPr>
                <w:rFonts w:ascii="Times New Roman" w:hAnsi="Times New Roman"/>
                <w:szCs w:val="21"/>
                <w:lang w:val="zh-CN"/>
              </w:rPr>
              <w:t>个。</w:t>
            </w:r>
          </w:p>
        </w:tc>
      </w:tr>
      <w:tr w14:paraId="6550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3A02CF68">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22</w:t>
            </w:r>
          </w:p>
        </w:tc>
        <w:tc>
          <w:tcPr>
            <w:tcW w:w="3689" w:type="dxa"/>
            <w:vAlign w:val="center"/>
          </w:tcPr>
          <w:p w14:paraId="18DB9CC7">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成交通知书领取</w:t>
            </w:r>
          </w:p>
        </w:tc>
        <w:tc>
          <w:tcPr>
            <w:tcW w:w="4807" w:type="dxa"/>
            <w:vAlign w:val="center"/>
          </w:tcPr>
          <w:p w14:paraId="3C1A4986">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1.成交响应人凭有效身份证明证件到福建省福州市鼓楼区福州软件园F区8号楼11层办理领取。</w:t>
            </w:r>
          </w:p>
          <w:p w14:paraId="57835B3E">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2.联系电话：15960099589。</w:t>
            </w:r>
          </w:p>
        </w:tc>
      </w:tr>
    </w:tbl>
    <w:p w14:paraId="50706CB9">
      <w:pPr>
        <w:rPr>
          <w:rFonts w:ascii="Times New Roman" w:hAnsi="Times New Roman"/>
          <w:bCs/>
          <w:sz w:val="28"/>
          <w:szCs w:val="28"/>
        </w:rPr>
      </w:pPr>
    </w:p>
    <w:p w14:paraId="0407E381">
      <w:pPr>
        <w:rPr>
          <w:rFonts w:ascii="Times New Roman" w:hAnsi="Times New Roman"/>
          <w:bCs/>
          <w:sz w:val="28"/>
          <w:szCs w:val="28"/>
        </w:rPr>
      </w:pPr>
      <w:r>
        <w:rPr>
          <w:rFonts w:ascii="Times New Roman" w:hAnsi="Times New Roman"/>
          <w:bCs/>
          <w:sz w:val="28"/>
          <w:szCs w:val="28"/>
        </w:rPr>
        <w:br w:type="page"/>
      </w:r>
    </w:p>
    <w:p w14:paraId="3DAF8DBA">
      <w:pPr>
        <w:adjustRightInd w:val="0"/>
        <w:snapToGrid w:val="0"/>
        <w:jc w:val="center"/>
        <w:outlineLvl w:val="1"/>
        <w:rPr>
          <w:rFonts w:ascii="Times New Roman" w:hAnsi="Times New Roman"/>
          <w:b/>
          <w:sz w:val="28"/>
          <w:szCs w:val="28"/>
        </w:rPr>
      </w:pPr>
      <w:bookmarkStart w:id="54" w:name="_Toc5326"/>
      <w:bookmarkStart w:id="55" w:name="_Toc12227"/>
      <w:bookmarkStart w:id="56" w:name="_Toc14885"/>
      <w:bookmarkStart w:id="57" w:name="_Toc30335"/>
      <w:r>
        <w:rPr>
          <w:rFonts w:ascii="Times New Roman" w:hAnsi="Times New Roman"/>
          <w:b/>
          <w:sz w:val="28"/>
          <w:szCs w:val="28"/>
        </w:rPr>
        <w:t>重要须知</w:t>
      </w:r>
      <w:bookmarkEnd w:id="54"/>
      <w:bookmarkEnd w:id="55"/>
      <w:bookmarkEnd w:id="56"/>
      <w:bookmarkEnd w:id="57"/>
    </w:p>
    <w:p w14:paraId="12DCE573">
      <w:pPr>
        <w:adjustRightInd w:val="0"/>
        <w:snapToGrid w:val="0"/>
        <w:jc w:val="center"/>
        <w:rPr>
          <w:rFonts w:ascii="Times New Roman" w:hAnsi="Times New Roman"/>
          <w:b/>
          <w:sz w:val="28"/>
          <w:szCs w:val="28"/>
        </w:rPr>
      </w:pPr>
    </w:p>
    <w:p w14:paraId="3F5B2E31">
      <w:pPr>
        <w:spacing w:line="360" w:lineRule="auto"/>
        <w:ind w:firstLine="480" w:firstLineChars="200"/>
        <w:rPr>
          <w:rFonts w:ascii="Times New Roman" w:hAnsi="Times New Roman"/>
          <w:bCs/>
          <w:sz w:val="24"/>
        </w:rPr>
      </w:pPr>
      <w:r>
        <w:rPr>
          <w:rFonts w:ascii="Times New Roman" w:hAnsi="Times New Roman"/>
          <w:bCs/>
          <w:sz w:val="24"/>
        </w:rPr>
        <w:t>1、报价单位应详细阅读本询比文件中所有的事项及条款要求，严格按照询比文件所附《报价文件格式》，于截止日期前提交报价文件。</w:t>
      </w:r>
    </w:p>
    <w:p w14:paraId="2807D73B">
      <w:pPr>
        <w:spacing w:line="360" w:lineRule="auto"/>
        <w:ind w:firstLine="480" w:firstLineChars="200"/>
        <w:rPr>
          <w:rFonts w:ascii="Times New Roman" w:hAnsi="Times New Roman"/>
          <w:bCs/>
          <w:sz w:val="24"/>
        </w:rPr>
      </w:pPr>
      <w:r>
        <w:rPr>
          <w:rFonts w:ascii="Times New Roman" w:hAnsi="Times New Roman"/>
          <w:bCs/>
          <w:sz w:val="24"/>
        </w:rPr>
        <w:t>2、报价单位应对询比文件的各项要求须做出实质性响应，写明单价及服务内容等，报价包括服务需缴纳的所有税费和一切费用。</w:t>
      </w:r>
    </w:p>
    <w:p w14:paraId="4FD8CC92">
      <w:pPr>
        <w:spacing w:line="360" w:lineRule="auto"/>
        <w:ind w:firstLine="480" w:firstLineChars="200"/>
        <w:rPr>
          <w:rFonts w:ascii="Times New Roman" w:hAnsi="Times New Roman"/>
          <w:bCs/>
          <w:sz w:val="24"/>
        </w:rPr>
      </w:pPr>
      <w:r>
        <w:rPr>
          <w:rFonts w:ascii="Times New Roman" w:hAnsi="Times New Roman"/>
          <w:bCs/>
          <w:sz w:val="24"/>
        </w:rPr>
        <w:t>3、报价文件需由报价单位加盖公章。</w:t>
      </w:r>
    </w:p>
    <w:p w14:paraId="4B2CEA95">
      <w:pPr>
        <w:spacing w:line="360" w:lineRule="auto"/>
        <w:ind w:firstLine="480" w:firstLineChars="200"/>
        <w:rPr>
          <w:rFonts w:ascii="Times New Roman" w:hAnsi="Times New Roman"/>
          <w:bCs/>
          <w:sz w:val="24"/>
        </w:rPr>
      </w:pPr>
      <w:r>
        <w:rPr>
          <w:rFonts w:ascii="Times New Roman" w:hAnsi="Times New Roman"/>
          <w:bCs/>
          <w:sz w:val="24"/>
        </w:rPr>
        <w:t>4、报价文件中如有修改错漏处，应在修改处加盖报价单位的公章。</w:t>
      </w:r>
    </w:p>
    <w:p w14:paraId="15304566">
      <w:pPr>
        <w:spacing w:line="360" w:lineRule="auto"/>
        <w:ind w:firstLine="480" w:firstLineChars="200"/>
        <w:rPr>
          <w:rFonts w:ascii="Times New Roman" w:hAnsi="Times New Roman"/>
          <w:bCs/>
          <w:sz w:val="24"/>
        </w:rPr>
      </w:pPr>
      <w:r>
        <w:rPr>
          <w:rFonts w:ascii="Times New Roman" w:hAnsi="Times New Roman"/>
          <w:bCs/>
          <w:sz w:val="24"/>
        </w:rPr>
        <w:t>5、报价文件有下列情形之一的属于重大偏离，将被作为无效响应处理：</w:t>
      </w:r>
    </w:p>
    <w:p w14:paraId="77E329C6">
      <w:pPr>
        <w:spacing w:line="360" w:lineRule="auto"/>
        <w:ind w:firstLine="480" w:firstLineChars="200"/>
        <w:rPr>
          <w:rFonts w:ascii="Times New Roman" w:hAnsi="Times New Roman"/>
          <w:bCs/>
          <w:sz w:val="24"/>
        </w:rPr>
      </w:pPr>
      <w:r>
        <w:rPr>
          <w:rFonts w:ascii="Times New Roman" w:hAnsi="Times New Roman"/>
          <w:bCs/>
          <w:sz w:val="24"/>
        </w:rPr>
        <w:t>5.1报价文件未按询比文件规定有效签署和加盖公章的；</w:t>
      </w:r>
    </w:p>
    <w:p w14:paraId="60C69B52">
      <w:pPr>
        <w:spacing w:line="360" w:lineRule="auto"/>
        <w:ind w:firstLine="480" w:firstLineChars="200"/>
        <w:rPr>
          <w:rFonts w:ascii="Times New Roman" w:hAnsi="Times New Roman"/>
          <w:bCs/>
          <w:sz w:val="24"/>
        </w:rPr>
      </w:pPr>
      <w:r>
        <w:rPr>
          <w:rFonts w:ascii="Times New Roman" w:hAnsi="Times New Roman"/>
          <w:bCs/>
          <w:sz w:val="24"/>
        </w:rPr>
        <w:t>5.2报价文件载明的项目完成期限超过询比文件规定的；</w:t>
      </w:r>
    </w:p>
    <w:p w14:paraId="3E418583">
      <w:pPr>
        <w:spacing w:line="360" w:lineRule="auto"/>
        <w:ind w:firstLine="480" w:firstLineChars="200"/>
        <w:rPr>
          <w:rFonts w:ascii="Times New Roman" w:hAnsi="Times New Roman"/>
          <w:bCs/>
          <w:sz w:val="24"/>
        </w:rPr>
      </w:pPr>
      <w:r>
        <w:rPr>
          <w:rFonts w:ascii="Times New Roman" w:hAnsi="Times New Roman"/>
          <w:bCs/>
          <w:sz w:val="24"/>
        </w:rPr>
        <w:t>5.3明显不符合询比文件规定的技术规格、标准以及其它条款要求的；</w:t>
      </w:r>
    </w:p>
    <w:p w14:paraId="72ABBB91">
      <w:pPr>
        <w:spacing w:line="360" w:lineRule="auto"/>
        <w:ind w:firstLine="480" w:firstLineChars="200"/>
        <w:rPr>
          <w:rFonts w:ascii="Times New Roman" w:hAnsi="Times New Roman"/>
          <w:bCs/>
          <w:sz w:val="24"/>
        </w:rPr>
      </w:pPr>
      <w:r>
        <w:rPr>
          <w:rFonts w:ascii="Times New Roman" w:hAnsi="Times New Roman"/>
          <w:bCs/>
          <w:sz w:val="24"/>
        </w:rPr>
        <w:t>5.4不符合询比文件规定的其他实质性要求的。</w:t>
      </w:r>
    </w:p>
    <w:p w14:paraId="4147A6BB">
      <w:pPr>
        <w:rPr>
          <w:rFonts w:ascii="Times New Roman" w:hAnsi="Times New Roman"/>
          <w:b/>
          <w:sz w:val="32"/>
          <w:szCs w:val="32"/>
        </w:rPr>
      </w:pPr>
      <w:bookmarkStart w:id="58" w:name="_Toc31787"/>
      <w:bookmarkStart w:id="59" w:name="_Toc17215"/>
      <w:bookmarkStart w:id="60" w:name="_Toc9321"/>
      <w:bookmarkStart w:id="61" w:name="_Toc196658452"/>
      <w:r>
        <w:rPr>
          <w:rFonts w:ascii="Times New Roman" w:hAnsi="Times New Roman"/>
          <w:b/>
          <w:sz w:val="32"/>
          <w:szCs w:val="32"/>
        </w:rPr>
        <w:br w:type="page"/>
      </w:r>
    </w:p>
    <w:p w14:paraId="74D433EA">
      <w:pPr>
        <w:tabs>
          <w:tab w:val="left" w:pos="2595"/>
          <w:tab w:val="center" w:pos="4153"/>
        </w:tabs>
        <w:spacing w:after="312" w:afterLines="100" w:line="480" w:lineRule="auto"/>
        <w:jc w:val="center"/>
        <w:outlineLvl w:val="0"/>
        <w:rPr>
          <w:rFonts w:ascii="Times New Roman" w:hAnsi="Times New Roman"/>
          <w:b/>
          <w:sz w:val="32"/>
          <w:szCs w:val="32"/>
        </w:rPr>
      </w:pPr>
      <w:bookmarkStart w:id="62" w:name="_Toc12881"/>
      <w:r>
        <w:rPr>
          <w:rFonts w:ascii="Times New Roman" w:hAnsi="Times New Roman"/>
          <w:b/>
          <w:sz w:val="32"/>
          <w:szCs w:val="32"/>
        </w:rPr>
        <w:t>第三章  评审办法（综合评分法）</w:t>
      </w:r>
      <w:bookmarkEnd w:id="58"/>
      <w:bookmarkEnd w:id="59"/>
      <w:bookmarkEnd w:id="60"/>
      <w:bookmarkEnd w:id="62"/>
    </w:p>
    <w:p w14:paraId="0BD88C00">
      <w:pPr>
        <w:pStyle w:val="3"/>
        <w:keepNext w:val="0"/>
        <w:keepLines w:val="0"/>
        <w:spacing w:line="360" w:lineRule="auto"/>
        <w:ind w:firstLine="472" w:firstLineChars="196"/>
        <w:rPr>
          <w:rFonts w:ascii="Times New Roman" w:hAnsi="Times New Roman"/>
          <w:szCs w:val="24"/>
        </w:rPr>
      </w:pPr>
      <w:bookmarkStart w:id="63" w:name="_Toc15734"/>
      <w:bookmarkStart w:id="64" w:name="_Toc32069"/>
      <w:bookmarkStart w:id="65" w:name="_Toc196658433"/>
      <w:bookmarkStart w:id="66" w:name="_Toc32318"/>
      <w:bookmarkStart w:id="67" w:name="_Toc17775"/>
      <w:bookmarkStart w:id="68" w:name="_Toc988"/>
      <w:r>
        <w:rPr>
          <w:rFonts w:ascii="Times New Roman" w:hAnsi="Times New Roman"/>
          <w:szCs w:val="24"/>
        </w:rPr>
        <w:t>一、总则</w:t>
      </w:r>
      <w:bookmarkEnd w:id="63"/>
      <w:bookmarkEnd w:id="64"/>
      <w:bookmarkEnd w:id="65"/>
      <w:bookmarkEnd w:id="66"/>
    </w:p>
    <w:p w14:paraId="0D7F965F">
      <w:pPr>
        <w:tabs>
          <w:tab w:val="left" w:pos="851"/>
        </w:tabs>
        <w:spacing w:line="360" w:lineRule="auto"/>
        <w:ind w:firstLine="480" w:firstLineChars="200"/>
        <w:rPr>
          <w:rFonts w:ascii="Times New Roman" w:hAnsi="Times New Roman"/>
          <w:kern w:val="0"/>
          <w:sz w:val="24"/>
          <w:szCs w:val="24"/>
        </w:rPr>
      </w:pPr>
      <w:r>
        <w:rPr>
          <w:rFonts w:ascii="Times New Roman" w:hAnsi="Times New Roman"/>
          <w:kern w:val="0"/>
          <w:sz w:val="24"/>
          <w:szCs w:val="24"/>
        </w:rPr>
        <w:t>1. 评审工作由评审小组负责。评审小组由采购人代表和有关技术、</w:t>
      </w:r>
      <w:r>
        <w:rPr>
          <w:rFonts w:hint="eastAsia" w:ascii="Times New Roman" w:hAnsi="Times New Roman"/>
          <w:kern w:val="0"/>
          <w:sz w:val="24"/>
          <w:szCs w:val="24"/>
        </w:rPr>
        <w:t>财务</w:t>
      </w:r>
      <w:r>
        <w:rPr>
          <w:rFonts w:ascii="Times New Roman" w:hAnsi="Times New Roman"/>
          <w:kern w:val="0"/>
          <w:sz w:val="24"/>
          <w:szCs w:val="24"/>
        </w:rPr>
        <w:t>、法律等方面的专业人员组成，且由3人及以上单数组成。</w:t>
      </w:r>
    </w:p>
    <w:p w14:paraId="72B88117">
      <w:pPr>
        <w:tabs>
          <w:tab w:val="left" w:pos="851"/>
        </w:tabs>
        <w:spacing w:line="360" w:lineRule="auto"/>
        <w:ind w:firstLine="480" w:firstLineChars="200"/>
        <w:rPr>
          <w:rFonts w:ascii="Times New Roman" w:hAnsi="Times New Roman"/>
          <w:kern w:val="0"/>
          <w:sz w:val="24"/>
          <w:szCs w:val="24"/>
        </w:rPr>
      </w:pPr>
      <w:r>
        <w:rPr>
          <w:rFonts w:ascii="Times New Roman" w:hAnsi="Times New Roman"/>
          <w:kern w:val="0"/>
          <w:sz w:val="24"/>
          <w:szCs w:val="24"/>
        </w:rPr>
        <w:t>2.</w:t>
      </w:r>
      <w:r>
        <w:rPr>
          <w:rFonts w:ascii="Times New Roman" w:hAnsi="Times New Roman"/>
          <w:b/>
          <w:kern w:val="0"/>
          <w:sz w:val="24"/>
          <w:szCs w:val="24"/>
        </w:rPr>
        <w:t>（实质性要求）</w:t>
      </w:r>
      <w:r>
        <w:rPr>
          <w:rFonts w:ascii="Times New Roman" w:hAnsi="Times New Roman"/>
          <w:kern w:val="0"/>
          <w:sz w:val="24"/>
          <w:szCs w:val="24"/>
        </w:rPr>
        <w:t>评审过程独立、保密，供应商非法干预评审过程的，其响应文件作为无效处理。</w:t>
      </w:r>
    </w:p>
    <w:p w14:paraId="2B3D539B">
      <w:pPr>
        <w:pStyle w:val="3"/>
        <w:keepNext w:val="0"/>
        <w:keepLines w:val="0"/>
        <w:spacing w:line="360" w:lineRule="auto"/>
        <w:ind w:firstLine="472" w:firstLineChars="196"/>
        <w:rPr>
          <w:rFonts w:ascii="Times New Roman" w:hAnsi="Times New Roman"/>
          <w:szCs w:val="24"/>
        </w:rPr>
      </w:pPr>
      <w:bookmarkStart w:id="69" w:name="_Toc196658434"/>
      <w:bookmarkStart w:id="70" w:name="_Toc1079"/>
      <w:bookmarkStart w:id="71" w:name="_Toc7604"/>
      <w:bookmarkStart w:id="72" w:name="_Toc26687"/>
      <w:r>
        <w:rPr>
          <w:rFonts w:ascii="Times New Roman" w:hAnsi="Times New Roman"/>
          <w:szCs w:val="24"/>
        </w:rPr>
        <w:t>二、评审程序</w:t>
      </w:r>
      <w:bookmarkEnd w:id="69"/>
      <w:bookmarkEnd w:id="70"/>
      <w:bookmarkEnd w:id="71"/>
      <w:bookmarkEnd w:id="72"/>
    </w:p>
    <w:p w14:paraId="6ABD2BB6">
      <w:pPr>
        <w:spacing w:line="360" w:lineRule="auto"/>
        <w:ind w:firstLine="482" w:firstLineChars="200"/>
        <w:rPr>
          <w:rFonts w:ascii="Times New Roman" w:hAnsi="Times New Roman"/>
          <w:b/>
          <w:sz w:val="24"/>
          <w:szCs w:val="24"/>
        </w:rPr>
      </w:pPr>
      <w:r>
        <w:rPr>
          <w:rFonts w:ascii="Times New Roman" w:hAnsi="Times New Roman"/>
          <w:b/>
          <w:sz w:val="24"/>
          <w:szCs w:val="24"/>
        </w:rPr>
        <w:t>1. 资格及符合性审查</w:t>
      </w:r>
    </w:p>
    <w:p w14:paraId="7642CD1D">
      <w:pPr>
        <w:spacing w:line="360" w:lineRule="auto"/>
        <w:ind w:firstLine="480" w:firstLineChars="200"/>
        <w:rPr>
          <w:rFonts w:ascii="Times New Roman" w:hAnsi="Times New Roman"/>
          <w:sz w:val="24"/>
          <w:szCs w:val="24"/>
        </w:rPr>
      </w:pPr>
      <w:r>
        <w:rPr>
          <w:rFonts w:ascii="Times New Roman" w:hAnsi="Times New Roman"/>
          <w:sz w:val="24"/>
          <w:szCs w:val="24"/>
        </w:rPr>
        <w:t>1.1评审小组应依据法律法规和询比文件的规定，对响应文件是否按照规定要求提供资格性证明材料、是否属于禁止参加</w:t>
      </w:r>
      <w:r>
        <w:rPr>
          <w:rFonts w:ascii="Times New Roman" w:hAnsi="Times New Roman"/>
          <w:kern w:val="0"/>
          <w:sz w:val="24"/>
          <w:szCs w:val="24"/>
        </w:rPr>
        <w:t>评审</w:t>
      </w:r>
      <w:r>
        <w:rPr>
          <w:rFonts w:ascii="Times New Roman" w:hAnsi="Times New Roman"/>
          <w:sz w:val="24"/>
          <w:szCs w:val="24"/>
        </w:rPr>
        <w:t>的供应商等进行审查，以确定供应商是否具备评审资格。</w:t>
      </w:r>
    </w:p>
    <w:p w14:paraId="7BC3D63B">
      <w:pPr>
        <w:spacing w:line="360" w:lineRule="auto"/>
        <w:ind w:firstLine="480" w:firstLineChars="200"/>
        <w:rPr>
          <w:rFonts w:ascii="Times New Roman" w:hAnsi="Times New Roman"/>
          <w:sz w:val="24"/>
          <w:szCs w:val="24"/>
        </w:rPr>
      </w:pPr>
      <w:r>
        <w:rPr>
          <w:rFonts w:ascii="Times New Roman" w:hAnsi="Times New Roman"/>
          <w:sz w:val="24"/>
          <w:szCs w:val="24"/>
        </w:rPr>
        <w:t>1.2资格审查结束后，评审小组应依据询比文件规定的所有实质性要求（技术和商务），对符合资格的响应文件进行有效性、完整性和响应程度审查，以确定参加</w:t>
      </w:r>
      <w:r>
        <w:rPr>
          <w:rFonts w:ascii="Times New Roman" w:hAnsi="Times New Roman"/>
          <w:kern w:val="0"/>
          <w:sz w:val="24"/>
          <w:szCs w:val="24"/>
        </w:rPr>
        <w:t>评审</w:t>
      </w:r>
      <w:r>
        <w:rPr>
          <w:rFonts w:ascii="Times New Roman" w:hAnsi="Times New Roman"/>
          <w:sz w:val="24"/>
          <w:szCs w:val="24"/>
        </w:rPr>
        <w:t>的供应商名单。</w:t>
      </w:r>
    </w:p>
    <w:p w14:paraId="22FE89A6">
      <w:pPr>
        <w:spacing w:line="360" w:lineRule="auto"/>
        <w:ind w:firstLine="480" w:firstLineChars="200"/>
        <w:rPr>
          <w:rFonts w:ascii="Times New Roman" w:hAnsi="Times New Roman"/>
          <w:sz w:val="24"/>
          <w:szCs w:val="24"/>
        </w:rPr>
      </w:pPr>
      <w:r>
        <w:rPr>
          <w:rFonts w:ascii="Times New Roman" w:hAnsi="Times New Roman"/>
          <w:sz w:val="24"/>
          <w:szCs w:val="24"/>
        </w:rPr>
        <w:t>1.3 若通过资格审查的供应商仅有2家时，经评审小组决议后可转为与其谈判采购，文件有效期及评审、合同等其他要求继续有效。也可终止本次询比活动，重新采购；若通过资格审查的供应商仅有1家时，终止本次询比活动，重新采购。</w:t>
      </w:r>
    </w:p>
    <w:p w14:paraId="19F374A8">
      <w:pPr>
        <w:spacing w:line="360" w:lineRule="auto"/>
        <w:ind w:firstLine="482" w:firstLineChars="200"/>
        <w:rPr>
          <w:rFonts w:ascii="Times New Roman" w:hAnsi="Times New Roman"/>
          <w:b/>
          <w:sz w:val="24"/>
          <w:szCs w:val="24"/>
        </w:rPr>
      </w:pPr>
      <w:r>
        <w:rPr>
          <w:rFonts w:ascii="Times New Roman" w:hAnsi="Times New Roman"/>
          <w:b/>
          <w:sz w:val="24"/>
          <w:szCs w:val="24"/>
        </w:rPr>
        <w:t>2.评审</w:t>
      </w:r>
    </w:p>
    <w:p w14:paraId="2BCF1238">
      <w:pPr>
        <w:spacing w:line="360" w:lineRule="auto"/>
        <w:ind w:firstLine="480" w:firstLineChars="200"/>
        <w:rPr>
          <w:rFonts w:ascii="Times New Roman" w:hAnsi="Times New Roman"/>
          <w:sz w:val="24"/>
          <w:szCs w:val="24"/>
        </w:rPr>
      </w:pPr>
      <w:r>
        <w:rPr>
          <w:rFonts w:ascii="Times New Roman" w:hAnsi="Times New Roman"/>
          <w:sz w:val="24"/>
          <w:szCs w:val="24"/>
        </w:rPr>
        <w:t>2.1按照询比文件要求，审查供应商所报相关服务等，进行技术部分评审。</w:t>
      </w:r>
    </w:p>
    <w:p w14:paraId="41FAC93B">
      <w:pPr>
        <w:spacing w:line="360" w:lineRule="auto"/>
        <w:ind w:firstLine="480" w:firstLineChars="200"/>
        <w:rPr>
          <w:rFonts w:ascii="Times New Roman" w:hAnsi="Times New Roman"/>
          <w:sz w:val="24"/>
          <w:szCs w:val="24"/>
        </w:rPr>
      </w:pPr>
      <w:r>
        <w:rPr>
          <w:rFonts w:ascii="Times New Roman" w:hAnsi="Times New Roman"/>
          <w:sz w:val="24"/>
          <w:szCs w:val="24"/>
        </w:rPr>
        <w:t>2.2按照询比文件要求，审查供应商的报价等，记录相关事项，进行报价部分评审。</w:t>
      </w:r>
    </w:p>
    <w:p w14:paraId="4D06C2EF">
      <w:pPr>
        <w:spacing w:line="360" w:lineRule="auto"/>
        <w:ind w:firstLine="480" w:firstLineChars="200"/>
        <w:rPr>
          <w:rFonts w:ascii="Times New Roman" w:hAnsi="Times New Roman"/>
          <w:sz w:val="24"/>
          <w:szCs w:val="24"/>
        </w:rPr>
      </w:pPr>
      <w:r>
        <w:rPr>
          <w:rFonts w:ascii="Times New Roman" w:hAnsi="Times New Roman"/>
          <w:sz w:val="24"/>
          <w:szCs w:val="24"/>
        </w:rPr>
        <w:t>当供应商实质性条款不满足、非实质性条款负偏离超过2项的或者未提供符合询比文件要求的技术支持资料时，其响应文件无效。</w:t>
      </w:r>
    </w:p>
    <w:p w14:paraId="17713740">
      <w:pPr>
        <w:numPr>
          <w:ilvl w:val="0"/>
          <w:numId w:val="1"/>
        </w:numPr>
        <w:spacing w:line="360" w:lineRule="auto"/>
        <w:ind w:firstLine="482" w:firstLineChars="200"/>
        <w:rPr>
          <w:rFonts w:ascii="Times New Roman" w:hAnsi="Times New Roman"/>
          <w:b/>
          <w:sz w:val="24"/>
          <w:szCs w:val="24"/>
        </w:rPr>
      </w:pPr>
      <w:r>
        <w:rPr>
          <w:rFonts w:ascii="Times New Roman" w:hAnsi="Times New Roman"/>
          <w:b/>
          <w:sz w:val="24"/>
          <w:szCs w:val="24"/>
        </w:rPr>
        <w:t>评分细则</w:t>
      </w:r>
    </w:p>
    <w:tbl>
      <w:tblPr>
        <w:tblStyle w:val="24"/>
        <w:tblW w:w="55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844"/>
        <w:gridCol w:w="2294"/>
        <w:gridCol w:w="5791"/>
      </w:tblGrid>
      <w:tr w14:paraId="4EEA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292" w:type="pct"/>
            <w:vAlign w:val="center"/>
          </w:tcPr>
          <w:p w14:paraId="6D613F5B">
            <w:pPr>
              <w:widowControl/>
              <w:adjustRightInd w:val="0"/>
              <w:snapToGrid w:val="0"/>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序号</w:t>
            </w:r>
          </w:p>
        </w:tc>
        <w:tc>
          <w:tcPr>
            <w:tcW w:w="445" w:type="pct"/>
            <w:vAlign w:val="center"/>
          </w:tcPr>
          <w:p w14:paraId="46C86D3C">
            <w:pPr>
              <w:widowControl/>
              <w:adjustRightInd w:val="0"/>
              <w:snapToGrid w:val="0"/>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类别</w:t>
            </w:r>
          </w:p>
        </w:tc>
        <w:tc>
          <w:tcPr>
            <w:tcW w:w="1209" w:type="pct"/>
            <w:vAlign w:val="center"/>
          </w:tcPr>
          <w:p w14:paraId="12137549">
            <w:pPr>
              <w:widowControl/>
              <w:adjustRightInd w:val="0"/>
              <w:snapToGrid w:val="0"/>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评分项目</w:t>
            </w:r>
          </w:p>
        </w:tc>
        <w:tc>
          <w:tcPr>
            <w:tcW w:w="3052" w:type="pct"/>
            <w:vAlign w:val="center"/>
          </w:tcPr>
          <w:p w14:paraId="0F8726DF">
            <w:pPr>
              <w:widowControl/>
              <w:adjustRightInd w:val="0"/>
              <w:snapToGrid w:val="0"/>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评分规则</w:t>
            </w:r>
          </w:p>
        </w:tc>
      </w:tr>
      <w:tr w14:paraId="6F96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92" w:type="pct"/>
            <w:vAlign w:val="center"/>
          </w:tcPr>
          <w:p w14:paraId="2762335B">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445" w:type="pct"/>
            <w:vAlign w:val="center"/>
          </w:tcPr>
          <w:p w14:paraId="7D5901A5">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报价</w:t>
            </w:r>
          </w:p>
        </w:tc>
        <w:tc>
          <w:tcPr>
            <w:tcW w:w="1209" w:type="pct"/>
            <w:vAlign w:val="center"/>
          </w:tcPr>
          <w:p w14:paraId="5AA1241B">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贷款利率（</w:t>
            </w:r>
            <w:r>
              <w:rPr>
                <w:rFonts w:hint="eastAsia" w:ascii="Times New Roman" w:hAnsi="Times New Roman" w:eastAsia="仿宋_GB2312"/>
                <w:kern w:val="0"/>
                <w:sz w:val="24"/>
                <w:szCs w:val="24"/>
              </w:rPr>
              <w:t>6</w:t>
            </w:r>
            <w:r>
              <w:rPr>
                <w:rFonts w:ascii="Times New Roman" w:hAnsi="Times New Roman" w:eastAsia="仿宋_GB2312"/>
                <w:kern w:val="0"/>
                <w:sz w:val="24"/>
                <w:szCs w:val="24"/>
              </w:rPr>
              <w:t>0分）</w:t>
            </w:r>
          </w:p>
        </w:tc>
        <w:tc>
          <w:tcPr>
            <w:tcW w:w="3052" w:type="pct"/>
            <w:vAlign w:val="center"/>
          </w:tcPr>
          <w:p w14:paraId="72F301BD">
            <w:pPr>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以全部有效响应人的最低贷款利率报价为评分基准价，投标利率每高于评分基准价0.01%扣除0.3分，扣分保留一位小数，依此类推，直至扣完为止。如果利率随时间波动，请在备注中说明贷款利率计算公式。</w:t>
            </w:r>
          </w:p>
        </w:tc>
      </w:tr>
      <w:tr w14:paraId="3737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92" w:type="pct"/>
            <w:vAlign w:val="center"/>
          </w:tcPr>
          <w:p w14:paraId="7F78CA8C">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445" w:type="pct"/>
            <w:vMerge w:val="restart"/>
            <w:vAlign w:val="center"/>
          </w:tcPr>
          <w:p w14:paraId="57FF618E">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技术</w:t>
            </w:r>
          </w:p>
        </w:tc>
        <w:tc>
          <w:tcPr>
            <w:tcW w:w="1209" w:type="pct"/>
            <w:shd w:val="clear" w:color="auto" w:fill="auto"/>
            <w:vAlign w:val="center"/>
          </w:tcPr>
          <w:p w14:paraId="7B4E78CC">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贷款金额（5分）</w:t>
            </w:r>
          </w:p>
        </w:tc>
        <w:tc>
          <w:tcPr>
            <w:tcW w:w="3052" w:type="pct"/>
            <w:shd w:val="clear" w:color="auto" w:fill="auto"/>
            <w:vAlign w:val="center"/>
          </w:tcPr>
          <w:p w14:paraId="0C7D1FC0">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以全部有效响应人的最高贷款金额为评分基准金额，报价金额每低于评分基准金额500万元扣一分，扣分保留一位小数，依此类推，直至扣完为止。</w:t>
            </w:r>
          </w:p>
        </w:tc>
      </w:tr>
      <w:tr w14:paraId="06A2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292" w:type="pct"/>
            <w:vAlign w:val="center"/>
          </w:tcPr>
          <w:p w14:paraId="714542D7">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445" w:type="pct"/>
            <w:vMerge w:val="continue"/>
            <w:vAlign w:val="center"/>
          </w:tcPr>
          <w:p w14:paraId="0922365C">
            <w:pPr>
              <w:widowControl/>
              <w:adjustRightInd w:val="0"/>
              <w:snapToGrid w:val="0"/>
              <w:jc w:val="center"/>
              <w:rPr>
                <w:rFonts w:ascii="Times New Roman" w:hAnsi="Times New Roman" w:eastAsia="仿宋_GB2312"/>
                <w:kern w:val="0"/>
                <w:sz w:val="24"/>
                <w:szCs w:val="24"/>
              </w:rPr>
            </w:pPr>
          </w:p>
        </w:tc>
        <w:tc>
          <w:tcPr>
            <w:tcW w:w="1209" w:type="pct"/>
            <w:shd w:val="clear" w:color="auto" w:fill="auto"/>
            <w:vAlign w:val="center"/>
          </w:tcPr>
          <w:p w14:paraId="008C0B77">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贷款期限（</w:t>
            </w:r>
            <w:r>
              <w:rPr>
                <w:rFonts w:hint="eastAsia" w:ascii="Times New Roman" w:hAnsi="Times New Roman" w:eastAsia="仿宋_GB2312"/>
                <w:kern w:val="0"/>
                <w:sz w:val="24"/>
                <w:szCs w:val="24"/>
              </w:rPr>
              <w:t>10</w:t>
            </w:r>
            <w:r>
              <w:rPr>
                <w:rFonts w:ascii="Times New Roman" w:hAnsi="Times New Roman" w:eastAsia="仿宋_GB2312"/>
                <w:kern w:val="0"/>
                <w:sz w:val="24"/>
                <w:szCs w:val="24"/>
              </w:rPr>
              <w:t>分）</w:t>
            </w:r>
          </w:p>
        </w:tc>
        <w:tc>
          <w:tcPr>
            <w:tcW w:w="3052" w:type="pct"/>
            <w:shd w:val="clear" w:color="auto" w:fill="auto"/>
            <w:vAlign w:val="center"/>
          </w:tcPr>
          <w:p w14:paraId="17A095DF">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以全部有效响应人的贷款最长期限为评分基准期限，贷款期限每低于评分基准期限6个月扣一分，扣分保留一位小数，依此类推，直至扣完为止，不能提前还款得0分。</w:t>
            </w:r>
          </w:p>
        </w:tc>
      </w:tr>
      <w:tr w14:paraId="7D90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 w:type="pct"/>
            <w:vAlign w:val="center"/>
          </w:tcPr>
          <w:p w14:paraId="1A16F3D4">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4</w:t>
            </w:r>
          </w:p>
        </w:tc>
        <w:tc>
          <w:tcPr>
            <w:tcW w:w="445" w:type="pct"/>
            <w:vMerge w:val="continue"/>
            <w:vAlign w:val="center"/>
          </w:tcPr>
          <w:p w14:paraId="7D94BC9A">
            <w:pPr>
              <w:widowControl/>
              <w:adjustRightInd w:val="0"/>
              <w:snapToGrid w:val="0"/>
              <w:jc w:val="center"/>
              <w:rPr>
                <w:rFonts w:ascii="Times New Roman" w:hAnsi="Times New Roman" w:eastAsia="仿宋_GB2312"/>
                <w:kern w:val="0"/>
                <w:sz w:val="24"/>
                <w:szCs w:val="24"/>
              </w:rPr>
            </w:pPr>
          </w:p>
        </w:tc>
        <w:tc>
          <w:tcPr>
            <w:tcW w:w="1209" w:type="pct"/>
            <w:shd w:val="clear" w:color="auto" w:fill="auto"/>
            <w:vAlign w:val="center"/>
          </w:tcPr>
          <w:p w14:paraId="4E146B6C">
            <w:pPr>
              <w:widowControl/>
              <w:adjustRightInd w:val="0"/>
              <w:snapToGrid w:val="0"/>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贷款准备</w:t>
            </w:r>
            <w:r>
              <w:rPr>
                <w:rFonts w:ascii="Times New Roman" w:hAnsi="Times New Roman" w:eastAsia="仿宋_GB2312"/>
                <w:kern w:val="0"/>
                <w:sz w:val="24"/>
                <w:szCs w:val="24"/>
              </w:rPr>
              <w:t>（</w:t>
            </w:r>
            <w:r>
              <w:rPr>
                <w:rFonts w:hint="eastAsia" w:ascii="Times New Roman" w:hAnsi="Times New Roman" w:eastAsia="仿宋_GB2312"/>
                <w:kern w:val="0"/>
                <w:sz w:val="24"/>
                <w:szCs w:val="24"/>
              </w:rPr>
              <w:t>10</w:t>
            </w:r>
            <w:r>
              <w:rPr>
                <w:rFonts w:ascii="Times New Roman" w:hAnsi="Times New Roman" w:eastAsia="仿宋_GB2312"/>
                <w:kern w:val="0"/>
                <w:sz w:val="24"/>
                <w:szCs w:val="24"/>
              </w:rPr>
              <w:t>分）</w:t>
            </w:r>
          </w:p>
        </w:tc>
        <w:tc>
          <w:tcPr>
            <w:tcW w:w="3052" w:type="pct"/>
            <w:shd w:val="clear" w:color="auto" w:fill="auto"/>
            <w:vAlign w:val="center"/>
          </w:tcPr>
          <w:p w14:paraId="006A000E">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放贷前无需提供放贷材料</w:t>
            </w:r>
            <w:r>
              <w:rPr>
                <w:rFonts w:hint="eastAsia" w:ascii="Times New Roman" w:hAnsi="Times New Roman" w:eastAsia="仿宋_GB2312"/>
                <w:kern w:val="0"/>
                <w:sz w:val="24"/>
                <w:szCs w:val="24"/>
              </w:rPr>
              <w:t>的得10分，</w:t>
            </w:r>
            <w:r>
              <w:rPr>
                <w:rFonts w:ascii="Times New Roman" w:hAnsi="Times New Roman" w:eastAsia="仿宋_GB2312"/>
                <w:kern w:val="0"/>
                <w:sz w:val="24"/>
                <w:szCs w:val="24"/>
              </w:rPr>
              <w:t>放贷前需提供放贷材料</w:t>
            </w:r>
            <w:r>
              <w:rPr>
                <w:rFonts w:hint="eastAsia" w:ascii="Times New Roman" w:hAnsi="Times New Roman" w:eastAsia="仿宋_GB2312"/>
                <w:kern w:val="0"/>
                <w:sz w:val="24"/>
                <w:szCs w:val="24"/>
              </w:rPr>
              <w:t>的得0分。</w:t>
            </w:r>
          </w:p>
        </w:tc>
      </w:tr>
      <w:tr w14:paraId="4F11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 w:type="pct"/>
            <w:vAlign w:val="center"/>
          </w:tcPr>
          <w:p w14:paraId="368327CE">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w:t>
            </w:r>
          </w:p>
        </w:tc>
        <w:tc>
          <w:tcPr>
            <w:tcW w:w="445" w:type="pct"/>
            <w:vMerge w:val="continue"/>
            <w:vAlign w:val="center"/>
          </w:tcPr>
          <w:p w14:paraId="609AEB51">
            <w:pPr>
              <w:widowControl/>
              <w:adjustRightInd w:val="0"/>
              <w:snapToGrid w:val="0"/>
              <w:jc w:val="center"/>
              <w:rPr>
                <w:rFonts w:ascii="Times New Roman" w:hAnsi="Times New Roman" w:eastAsia="仿宋_GB2312"/>
                <w:kern w:val="0"/>
                <w:sz w:val="24"/>
                <w:szCs w:val="24"/>
              </w:rPr>
            </w:pPr>
          </w:p>
        </w:tc>
        <w:tc>
          <w:tcPr>
            <w:tcW w:w="1209" w:type="pct"/>
            <w:shd w:val="clear" w:color="auto" w:fill="auto"/>
            <w:vAlign w:val="center"/>
          </w:tcPr>
          <w:p w14:paraId="32426854">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放款时间（</w:t>
            </w:r>
            <w:r>
              <w:rPr>
                <w:rFonts w:hint="eastAsia" w:ascii="Times New Roman" w:hAnsi="Times New Roman" w:eastAsia="仿宋_GB2312"/>
                <w:kern w:val="0"/>
                <w:sz w:val="24"/>
                <w:szCs w:val="24"/>
              </w:rPr>
              <w:t>10</w:t>
            </w:r>
            <w:r>
              <w:rPr>
                <w:rFonts w:ascii="Times New Roman" w:hAnsi="Times New Roman" w:eastAsia="仿宋_GB2312"/>
                <w:kern w:val="0"/>
                <w:sz w:val="24"/>
                <w:szCs w:val="24"/>
              </w:rPr>
              <w:t>分）</w:t>
            </w:r>
          </w:p>
        </w:tc>
        <w:tc>
          <w:tcPr>
            <w:tcW w:w="3052" w:type="pct"/>
            <w:shd w:val="clear" w:color="auto" w:fill="auto"/>
            <w:vAlign w:val="center"/>
          </w:tcPr>
          <w:p w14:paraId="38A9398E">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满足款项需求当日（自然日）内完成放款，得 10 分；满足款项需求后 3 个自然日内完成放款，得 4 分；满足款项需求后 4 个自然日及以上完成放款，不得分。</w:t>
            </w:r>
          </w:p>
        </w:tc>
      </w:tr>
      <w:tr w14:paraId="2EB6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92" w:type="pct"/>
            <w:vAlign w:val="center"/>
          </w:tcPr>
          <w:p w14:paraId="78989992">
            <w:pPr>
              <w:widowControl/>
              <w:adjustRightInd w:val="0"/>
              <w:snapToGrid w:val="0"/>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445" w:type="pct"/>
            <w:vMerge w:val="continue"/>
            <w:vAlign w:val="center"/>
          </w:tcPr>
          <w:p w14:paraId="114870A0">
            <w:pPr>
              <w:widowControl/>
              <w:adjustRightInd w:val="0"/>
              <w:snapToGrid w:val="0"/>
              <w:jc w:val="center"/>
              <w:rPr>
                <w:rFonts w:ascii="Times New Roman" w:hAnsi="Times New Roman" w:eastAsia="仿宋_GB2312"/>
                <w:kern w:val="0"/>
                <w:sz w:val="24"/>
                <w:szCs w:val="24"/>
              </w:rPr>
            </w:pPr>
          </w:p>
        </w:tc>
        <w:tc>
          <w:tcPr>
            <w:tcW w:w="1209" w:type="pct"/>
            <w:shd w:val="clear" w:color="auto" w:fill="auto"/>
            <w:vAlign w:val="center"/>
          </w:tcPr>
          <w:p w14:paraId="231563E6">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其他事项（5分）</w:t>
            </w:r>
          </w:p>
        </w:tc>
        <w:tc>
          <w:tcPr>
            <w:tcW w:w="3052" w:type="pct"/>
            <w:shd w:val="clear" w:color="auto" w:fill="auto"/>
            <w:vAlign w:val="center"/>
          </w:tcPr>
          <w:p w14:paraId="06A623C2">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有其他优惠条款酌情打分。</w:t>
            </w:r>
          </w:p>
        </w:tc>
      </w:tr>
    </w:tbl>
    <w:p w14:paraId="29B0B0A4">
      <w:pPr>
        <w:spacing w:line="360" w:lineRule="auto"/>
        <w:ind w:firstLine="480" w:firstLineChars="200"/>
        <w:rPr>
          <w:rFonts w:ascii="Times New Roman" w:hAnsi="Times New Roman"/>
          <w:sz w:val="24"/>
          <w:szCs w:val="24"/>
        </w:rPr>
      </w:pPr>
    </w:p>
    <w:p w14:paraId="7A755A6B">
      <w:pPr>
        <w:spacing w:line="360" w:lineRule="auto"/>
        <w:ind w:firstLine="480" w:firstLineChars="200"/>
        <w:rPr>
          <w:rFonts w:ascii="Times New Roman" w:hAnsi="Times New Roman"/>
          <w:sz w:val="24"/>
          <w:szCs w:val="24"/>
        </w:rPr>
      </w:pPr>
      <w:r>
        <w:rPr>
          <w:rFonts w:ascii="Times New Roman" w:hAnsi="Times New Roman"/>
          <w:sz w:val="24"/>
          <w:szCs w:val="24"/>
        </w:rPr>
        <w:t>3.1 评审小组按评分细则进行打分，并计算出综合评估得分。</w:t>
      </w:r>
    </w:p>
    <w:p w14:paraId="031AA8B8">
      <w:pPr>
        <w:spacing w:line="360" w:lineRule="auto"/>
        <w:ind w:firstLine="480" w:firstLineChars="200"/>
        <w:rPr>
          <w:rFonts w:ascii="Times New Roman" w:hAnsi="Times New Roman"/>
          <w:sz w:val="24"/>
          <w:szCs w:val="24"/>
        </w:rPr>
      </w:pPr>
      <w:r>
        <w:rPr>
          <w:rFonts w:ascii="Times New Roman" w:hAnsi="Times New Roman"/>
          <w:sz w:val="24"/>
          <w:szCs w:val="24"/>
        </w:rPr>
        <w:t>3.2 评分分值计算保留小数点后两位，小数点后第三位“四舍五入”。</w:t>
      </w:r>
    </w:p>
    <w:p w14:paraId="30C75969">
      <w:pPr>
        <w:spacing w:line="360" w:lineRule="auto"/>
        <w:ind w:firstLine="480" w:firstLineChars="200"/>
        <w:rPr>
          <w:rFonts w:ascii="Times New Roman" w:hAnsi="Times New Roman"/>
          <w:sz w:val="24"/>
          <w:szCs w:val="24"/>
        </w:rPr>
      </w:pPr>
      <w:r>
        <w:rPr>
          <w:rFonts w:ascii="Times New Roman" w:hAnsi="Times New Roman"/>
          <w:sz w:val="24"/>
          <w:szCs w:val="24"/>
        </w:rPr>
        <w:t>3.3供应商得分2部分分别评分之和。供应商最终得分=各评委对供应商得分的算术平均值。（计算评分值均保留两位小数）</w:t>
      </w:r>
    </w:p>
    <w:p w14:paraId="6ABDDE52">
      <w:pPr>
        <w:widowControl/>
        <w:spacing w:line="360" w:lineRule="auto"/>
        <w:ind w:firstLine="480" w:firstLineChars="200"/>
        <w:rPr>
          <w:rFonts w:ascii="Times New Roman" w:hAnsi="Times New Roman"/>
          <w:sz w:val="24"/>
          <w:szCs w:val="24"/>
        </w:rPr>
      </w:pPr>
      <w:r>
        <w:rPr>
          <w:rFonts w:ascii="Times New Roman" w:hAnsi="Times New Roman"/>
          <w:sz w:val="24"/>
          <w:szCs w:val="24"/>
        </w:rPr>
        <w:t>3.4 若供应商出现超低报价，有可能影响服务质量和不能诚信履约的，评审小组将要求该供应商作出书面说明并提供相关证明材料，以确定供应商是否以低于企业成本价报价。若评审小组认定供应商以低于企业成本价报价且供应商不能合理说明或不能提供相关证明材料，导致采购人的利益得不到保障，则该供应商的响应作为无效响应处理。</w:t>
      </w:r>
    </w:p>
    <w:bookmarkEnd w:id="67"/>
    <w:bookmarkEnd w:id="68"/>
    <w:p w14:paraId="1106E415">
      <w:pPr>
        <w:spacing w:line="360" w:lineRule="auto"/>
        <w:ind w:firstLine="482" w:firstLineChars="200"/>
        <w:rPr>
          <w:rFonts w:ascii="Times New Roman" w:hAnsi="Times New Roman"/>
          <w:b/>
          <w:sz w:val="24"/>
          <w:szCs w:val="24"/>
        </w:rPr>
      </w:pPr>
      <w:r>
        <w:rPr>
          <w:rFonts w:ascii="Times New Roman" w:hAnsi="Times New Roman"/>
          <w:b/>
          <w:sz w:val="24"/>
          <w:szCs w:val="24"/>
        </w:rPr>
        <w:t>4. 推荐成交候选人</w:t>
      </w:r>
    </w:p>
    <w:p w14:paraId="5068A982">
      <w:pPr>
        <w:spacing w:line="360" w:lineRule="auto"/>
        <w:ind w:firstLine="480" w:firstLineChars="200"/>
        <w:rPr>
          <w:rFonts w:ascii="Times New Roman" w:hAnsi="Times New Roman"/>
          <w:sz w:val="24"/>
          <w:szCs w:val="24"/>
        </w:rPr>
      </w:pPr>
      <w:r>
        <w:rPr>
          <w:rFonts w:ascii="Times New Roman" w:hAnsi="Times New Roman"/>
          <w:sz w:val="24"/>
          <w:szCs w:val="24"/>
        </w:rPr>
        <w:t>4.1 评审小组按照最终得分由高至低的次序排列，并根据供应商须知前附表规定的成交候选人数量，将排序在前的供应商推荐为成交候选人。</w:t>
      </w:r>
    </w:p>
    <w:p w14:paraId="5A3BBCB0">
      <w:pPr>
        <w:spacing w:line="360" w:lineRule="auto"/>
        <w:ind w:firstLine="480" w:firstLineChars="200"/>
        <w:rPr>
          <w:rFonts w:ascii="Times New Roman" w:hAnsi="Times New Roman"/>
          <w:sz w:val="24"/>
          <w:szCs w:val="24"/>
        </w:rPr>
      </w:pPr>
      <w:r>
        <w:rPr>
          <w:rFonts w:ascii="Times New Roman" w:hAnsi="Times New Roman"/>
          <w:sz w:val="24"/>
          <w:szCs w:val="24"/>
        </w:rPr>
        <w:t>4.2 如果评审小组根据本章的规定作无效标处理后，有效投标不足三个，且少于供应商须知前附表规定的中标候选人数量的，则评标委员会可以将所有有效投标按最终得分由高至低的次序作为成交候选人向招标人推荐。</w:t>
      </w:r>
    </w:p>
    <w:p w14:paraId="40C28B52">
      <w:pPr>
        <w:spacing w:line="360" w:lineRule="auto"/>
        <w:ind w:firstLine="480" w:firstLineChars="200"/>
        <w:rPr>
          <w:rFonts w:ascii="Times New Roman" w:hAnsi="Times New Roman"/>
          <w:sz w:val="24"/>
          <w:szCs w:val="24"/>
        </w:rPr>
      </w:pPr>
      <w:r>
        <w:rPr>
          <w:rFonts w:ascii="Times New Roman" w:hAnsi="Times New Roman"/>
          <w:sz w:val="24"/>
          <w:szCs w:val="24"/>
        </w:rPr>
        <w:t>4.3 若通过资格审查的供应商仅有2家时，经评审小组决议后可转为与其谈判采购，文件有效期及评审、合同等其他要求继续有效。也可终止本次询比活动，重新采购；若通过资格审查的供应商仅有1家时，终止本次询比活动，重新采购。</w:t>
      </w:r>
    </w:p>
    <w:p w14:paraId="0267AB66">
      <w:pPr>
        <w:numPr>
          <w:ilvl w:val="0"/>
          <w:numId w:val="2"/>
        </w:numPr>
        <w:spacing w:line="360" w:lineRule="auto"/>
        <w:ind w:firstLine="482" w:firstLineChars="200"/>
        <w:rPr>
          <w:rFonts w:ascii="Times New Roman" w:hAnsi="Times New Roman"/>
          <w:b/>
          <w:sz w:val="24"/>
          <w:szCs w:val="24"/>
        </w:rPr>
      </w:pPr>
      <w:r>
        <w:rPr>
          <w:rFonts w:ascii="Times New Roman" w:hAnsi="Times New Roman"/>
          <w:b/>
          <w:sz w:val="24"/>
          <w:szCs w:val="24"/>
        </w:rPr>
        <w:t>定标</w:t>
      </w:r>
    </w:p>
    <w:p w14:paraId="5E271D07">
      <w:pPr>
        <w:spacing w:line="360" w:lineRule="auto"/>
        <w:ind w:firstLine="480" w:firstLineChars="200"/>
        <w:rPr>
          <w:rFonts w:ascii="Times New Roman" w:hAnsi="Times New Roman"/>
          <w:sz w:val="24"/>
          <w:szCs w:val="24"/>
        </w:rPr>
      </w:pPr>
      <w:r>
        <w:rPr>
          <w:rFonts w:ascii="Times New Roman" w:hAnsi="Times New Roman"/>
          <w:sz w:val="24"/>
          <w:szCs w:val="24"/>
        </w:rPr>
        <w:t>拟选1家</w:t>
      </w:r>
      <w:r>
        <w:rPr>
          <w:rFonts w:hint="eastAsia" w:ascii="Times New Roman" w:hAnsi="Times New Roman"/>
          <w:sz w:val="24"/>
          <w:szCs w:val="24"/>
        </w:rPr>
        <w:t>供应商</w:t>
      </w:r>
      <w:r>
        <w:rPr>
          <w:rFonts w:ascii="Times New Roman" w:hAnsi="Times New Roman"/>
          <w:sz w:val="24"/>
          <w:szCs w:val="24"/>
        </w:rPr>
        <w:t>成交，确定评分最高的</w:t>
      </w:r>
      <w:r>
        <w:rPr>
          <w:rFonts w:hint="eastAsia" w:ascii="Times New Roman" w:hAnsi="Times New Roman"/>
          <w:sz w:val="24"/>
          <w:szCs w:val="24"/>
        </w:rPr>
        <w:t>供应商</w:t>
      </w:r>
      <w:r>
        <w:rPr>
          <w:rFonts w:ascii="Times New Roman" w:hAnsi="Times New Roman"/>
          <w:sz w:val="24"/>
          <w:szCs w:val="24"/>
        </w:rPr>
        <w:t>为成交人。若成交单位授信要求无法满足1000万元或无法按采购文件约定履行，则由评审小组推荐的成交候选人中排名第二者提供剩余贷款服务，直至满足公司融资需求。</w:t>
      </w:r>
    </w:p>
    <w:p w14:paraId="1D917F7F">
      <w:pPr>
        <w:spacing w:line="360" w:lineRule="auto"/>
        <w:ind w:firstLine="480" w:firstLineChars="200"/>
        <w:rPr>
          <w:rFonts w:ascii="Times New Roman" w:hAnsi="Times New Roman"/>
          <w:sz w:val="24"/>
          <w:szCs w:val="24"/>
        </w:rPr>
      </w:pPr>
      <w:r>
        <w:rPr>
          <w:rFonts w:ascii="Times New Roman" w:hAnsi="Times New Roman"/>
          <w:sz w:val="24"/>
          <w:szCs w:val="24"/>
        </w:rPr>
        <w:br w:type="page"/>
      </w:r>
    </w:p>
    <w:bookmarkEnd w:id="61"/>
    <w:p w14:paraId="71D4EF78">
      <w:pPr>
        <w:tabs>
          <w:tab w:val="left" w:pos="2595"/>
          <w:tab w:val="center" w:pos="4153"/>
        </w:tabs>
        <w:spacing w:after="312" w:afterLines="100" w:line="480" w:lineRule="auto"/>
        <w:jc w:val="center"/>
        <w:outlineLvl w:val="0"/>
        <w:rPr>
          <w:rFonts w:ascii="Times New Roman" w:hAnsi="Times New Roman"/>
          <w:b/>
          <w:sz w:val="32"/>
          <w:szCs w:val="32"/>
        </w:rPr>
      </w:pPr>
      <w:bookmarkStart w:id="73" w:name="_Toc196658435"/>
      <w:bookmarkStart w:id="74" w:name="_Toc28135"/>
      <w:bookmarkStart w:id="75" w:name="_Toc3348"/>
      <w:bookmarkStart w:id="76" w:name="_Toc7440"/>
      <w:bookmarkStart w:id="77" w:name="_Toc527524344"/>
      <w:r>
        <w:rPr>
          <w:rFonts w:ascii="Times New Roman" w:hAnsi="Times New Roman"/>
          <w:b/>
          <w:sz w:val="32"/>
          <w:szCs w:val="32"/>
        </w:rPr>
        <w:t>第四章  合同文件格式</w:t>
      </w:r>
      <w:bookmarkEnd w:id="73"/>
      <w:bookmarkEnd w:id="74"/>
      <w:bookmarkEnd w:id="75"/>
      <w:bookmarkEnd w:id="76"/>
    </w:p>
    <w:bookmarkEnd w:id="77"/>
    <w:p w14:paraId="10F3C19D">
      <w:pPr>
        <w:spacing w:line="360" w:lineRule="auto"/>
        <w:ind w:firstLine="480" w:firstLineChars="200"/>
        <w:rPr>
          <w:rFonts w:ascii="Times New Roman" w:hAnsi="Times New Roman"/>
          <w:sz w:val="24"/>
          <w:szCs w:val="24"/>
        </w:rPr>
      </w:pPr>
      <w:bookmarkStart w:id="78" w:name="_Toc18411"/>
      <w:r>
        <w:rPr>
          <w:rFonts w:ascii="Times New Roman" w:hAnsi="Times New Roman"/>
          <w:sz w:val="24"/>
          <w:szCs w:val="24"/>
        </w:rPr>
        <w:t>注：按成交银行的制式合同执行。</w:t>
      </w:r>
    </w:p>
    <w:p w14:paraId="7257509D">
      <w:pPr>
        <w:spacing w:line="360" w:lineRule="auto"/>
        <w:jc w:val="center"/>
        <w:outlineLvl w:val="0"/>
        <w:rPr>
          <w:rFonts w:ascii="Times New Roman" w:hAnsi="Times New Roman"/>
          <w:b/>
          <w:sz w:val="32"/>
        </w:rPr>
      </w:pPr>
      <w:r>
        <w:rPr>
          <w:rFonts w:ascii="Times New Roman" w:hAnsi="Times New Roman"/>
          <w:sz w:val="24"/>
          <w:szCs w:val="24"/>
        </w:rPr>
        <w:br w:type="page"/>
      </w:r>
      <w:bookmarkStart w:id="79" w:name="_Toc22623"/>
      <w:bookmarkStart w:id="80" w:name="_Toc23531"/>
      <w:bookmarkStart w:id="81" w:name="_Toc20881"/>
      <w:r>
        <w:rPr>
          <w:rFonts w:ascii="Times New Roman" w:hAnsi="Times New Roman"/>
          <w:b/>
          <w:sz w:val="32"/>
        </w:rPr>
        <w:t>第五章  服务标准和服务要求</w:t>
      </w:r>
      <w:bookmarkEnd w:id="79"/>
      <w:bookmarkEnd w:id="80"/>
      <w:bookmarkEnd w:id="81"/>
    </w:p>
    <w:p w14:paraId="1ABC9A2A">
      <w:pPr>
        <w:spacing w:line="360" w:lineRule="auto"/>
        <w:ind w:firstLine="480" w:firstLineChars="200"/>
        <w:rPr>
          <w:rFonts w:ascii="Times New Roman" w:hAnsi="Times New Roman"/>
          <w:sz w:val="24"/>
          <w:szCs w:val="24"/>
        </w:rPr>
      </w:pPr>
      <w:bookmarkStart w:id="82" w:name="_Toc10729"/>
    </w:p>
    <w:p w14:paraId="5072EBF0">
      <w:pPr>
        <w:spacing w:line="360" w:lineRule="auto"/>
        <w:ind w:firstLine="480" w:firstLineChars="200"/>
        <w:rPr>
          <w:rFonts w:ascii="Times New Roman" w:hAnsi="Times New Roman"/>
          <w:sz w:val="24"/>
          <w:szCs w:val="24"/>
        </w:rPr>
      </w:pPr>
      <w:r>
        <w:rPr>
          <w:rFonts w:ascii="Times New Roman" w:hAnsi="Times New Roman"/>
          <w:sz w:val="24"/>
          <w:szCs w:val="24"/>
        </w:rPr>
        <w:t>1、各银行为漳州常华钱水水处理有限公司提供流动资金贷款</w:t>
      </w:r>
      <w:r>
        <w:rPr>
          <w:rFonts w:hint="eastAsia" w:ascii="Times New Roman" w:hAnsi="Times New Roman"/>
          <w:sz w:val="24"/>
          <w:szCs w:val="24"/>
        </w:rPr>
        <w:t>，</w:t>
      </w:r>
      <w:r>
        <w:rPr>
          <w:rFonts w:ascii="Times New Roman" w:hAnsi="Times New Roman"/>
          <w:sz w:val="24"/>
          <w:szCs w:val="24"/>
        </w:rPr>
        <w:t>合计金额不少于1000万元。</w:t>
      </w:r>
    </w:p>
    <w:p w14:paraId="63D2363E">
      <w:pPr>
        <w:spacing w:line="360" w:lineRule="auto"/>
        <w:ind w:firstLine="480" w:firstLineChars="200"/>
        <w:rPr>
          <w:rFonts w:ascii="Times New Roman" w:hAnsi="Times New Roman"/>
          <w:sz w:val="24"/>
          <w:szCs w:val="24"/>
        </w:rPr>
      </w:pPr>
      <w:r>
        <w:rPr>
          <w:rFonts w:ascii="Times New Roman" w:hAnsi="Times New Roman"/>
          <w:sz w:val="24"/>
          <w:szCs w:val="24"/>
        </w:rPr>
        <w:t>2、借款期限不低于6个月，且允许提前还款。</w:t>
      </w:r>
    </w:p>
    <w:p w14:paraId="1277E37C">
      <w:pPr>
        <w:spacing w:line="360" w:lineRule="auto"/>
        <w:ind w:firstLine="480" w:firstLineChars="200"/>
        <w:rPr>
          <w:rFonts w:ascii="Times New Roman" w:hAnsi="Times New Roman"/>
          <w:sz w:val="24"/>
          <w:szCs w:val="24"/>
        </w:rPr>
      </w:pPr>
      <w:r>
        <w:rPr>
          <w:rFonts w:ascii="Times New Roman" w:hAnsi="Times New Roman"/>
          <w:sz w:val="24"/>
          <w:szCs w:val="24"/>
        </w:rPr>
        <w:t>3、贷款担保方式为信用，无需保证或抵质押。</w:t>
      </w:r>
    </w:p>
    <w:p w14:paraId="1C5EC24C">
      <w:pPr>
        <w:spacing w:line="360" w:lineRule="auto"/>
        <w:ind w:firstLine="480" w:firstLineChars="200"/>
        <w:rPr>
          <w:rFonts w:ascii="Times New Roman" w:hAnsi="Times New Roman"/>
          <w:sz w:val="24"/>
          <w:szCs w:val="24"/>
        </w:rPr>
      </w:pPr>
      <w:r>
        <w:rPr>
          <w:rFonts w:ascii="Times New Roman" w:hAnsi="Times New Roman"/>
          <w:sz w:val="24"/>
          <w:szCs w:val="24"/>
        </w:rPr>
        <w:t>4、项目贷款按照购买方每次提款需求放款。</w:t>
      </w:r>
    </w:p>
    <w:p w14:paraId="7A50A490">
      <w:pPr>
        <w:rPr>
          <w:rFonts w:ascii="Times New Roman" w:hAnsi="Times New Roman"/>
          <w:b/>
          <w:sz w:val="32"/>
        </w:rPr>
      </w:pPr>
      <w:r>
        <w:rPr>
          <w:rFonts w:ascii="Times New Roman" w:hAnsi="Times New Roman"/>
          <w:b/>
          <w:sz w:val="32"/>
        </w:rPr>
        <w:br w:type="page"/>
      </w:r>
    </w:p>
    <w:p w14:paraId="02C6290B">
      <w:pPr>
        <w:spacing w:line="360" w:lineRule="auto"/>
        <w:jc w:val="center"/>
        <w:outlineLvl w:val="0"/>
        <w:rPr>
          <w:rFonts w:ascii="Times New Roman" w:hAnsi="Times New Roman"/>
          <w:b/>
          <w:sz w:val="32"/>
        </w:rPr>
      </w:pPr>
      <w:bookmarkStart w:id="83" w:name="_Toc30947"/>
      <w:r>
        <w:rPr>
          <w:rFonts w:ascii="Times New Roman" w:hAnsi="Times New Roman"/>
          <w:b/>
          <w:sz w:val="32"/>
        </w:rPr>
        <w:t>第六章  响应文件格式</w:t>
      </w:r>
      <w:bookmarkEnd w:id="78"/>
      <w:bookmarkEnd w:id="82"/>
      <w:bookmarkEnd w:id="83"/>
    </w:p>
    <w:p w14:paraId="072140E0">
      <w:pPr>
        <w:spacing w:line="360" w:lineRule="auto"/>
        <w:ind w:firstLine="480" w:firstLineChars="200"/>
        <w:rPr>
          <w:rFonts w:ascii="Times New Roman" w:hAnsi="Times New Roman"/>
          <w:sz w:val="24"/>
          <w:szCs w:val="24"/>
        </w:rPr>
      </w:pPr>
    </w:p>
    <w:p w14:paraId="21C2757F">
      <w:pPr>
        <w:spacing w:line="360" w:lineRule="auto"/>
        <w:ind w:firstLine="480" w:firstLineChars="200"/>
        <w:rPr>
          <w:rFonts w:ascii="Times New Roman" w:hAnsi="Times New Roman"/>
          <w:sz w:val="24"/>
          <w:szCs w:val="24"/>
        </w:rPr>
      </w:pPr>
      <w:r>
        <w:rPr>
          <w:rFonts w:ascii="Times New Roman" w:hAnsi="Times New Roman"/>
          <w:sz w:val="24"/>
          <w:szCs w:val="24"/>
        </w:rPr>
        <w:t>一、响应文件格式除明确将该格式作为实质性要求的，一律不具有强制性，但是，响应人响应文件相关资料和本章所制格式不一致的，评审小组将在评分时以响应文件不规范予以扣分处理。</w:t>
      </w:r>
    </w:p>
    <w:p w14:paraId="3C224260">
      <w:pPr>
        <w:spacing w:line="360" w:lineRule="auto"/>
        <w:ind w:firstLine="480" w:firstLineChars="200"/>
        <w:rPr>
          <w:rFonts w:ascii="Times New Roman" w:hAnsi="Times New Roman"/>
          <w:sz w:val="24"/>
          <w:szCs w:val="24"/>
        </w:rPr>
      </w:pPr>
      <w:r>
        <w:rPr>
          <w:rFonts w:ascii="Times New Roman" w:hAnsi="Times New Roman"/>
          <w:sz w:val="24"/>
          <w:szCs w:val="24"/>
        </w:rPr>
        <w:t>二、有关表格中的备注栏，由响应人根据自身响应情况作解释性说明，不作为必填项。</w:t>
      </w:r>
    </w:p>
    <w:p w14:paraId="09591EC7">
      <w:pPr>
        <w:spacing w:line="360" w:lineRule="auto"/>
        <w:ind w:firstLine="480" w:firstLineChars="200"/>
        <w:rPr>
          <w:rFonts w:ascii="Times New Roman" w:hAnsi="Times New Roman"/>
          <w:sz w:val="24"/>
          <w:szCs w:val="24"/>
        </w:rPr>
      </w:pPr>
      <w:r>
        <w:rPr>
          <w:rFonts w:ascii="Times New Roman" w:hAnsi="Times New Roman"/>
          <w:sz w:val="24"/>
          <w:szCs w:val="24"/>
        </w:rPr>
        <w:t>三、响应文件格式中需要填写的相关内容事项，可能会与本采购项目无关，在不改变响应文件原义、不影响本项目采购需求的情况下，响应人可以不予填写，但应当注明。</w:t>
      </w:r>
    </w:p>
    <w:p w14:paraId="3AFE756F">
      <w:pPr>
        <w:rPr>
          <w:rFonts w:ascii="Times New Roman" w:hAnsi="Times New Roman"/>
          <w:sz w:val="24"/>
          <w:szCs w:val="24"/>
          <w:lang w:val="zh-CN"/>
        </w:rPr>
      </w:pPr>
      <w:r>
        <w:rPr>
          <w:rFonts w:ascii="Times New Roman" w:hAnsi="Times New Roman"/>
        </w:rPr>
        <w:br w:type="page"/>
      </w:r>
      <w:r>
        <w:rPr>
          <w:rFonts w:ascii="Times New Roman" w:hAnsi="Times New Roman"/>
          <w:sz w:val="24"/>
          <w:szCs w:val="24"/>
          <w:lang w:val="zh-CN"/>
        </w:rPr>
        <w:t>响应文件封面及密封包装格式：</w:t>
      </w:r>
    </w:p>
    <w:p w14:paraId="4EEC058E">
      <w:pPr>
        <w:autoSpaceDE w:val="0"/>
        <w:autoSpaceDN w:val="0"/>
        <w:jc w:val="right"/>
        <w:rPr>
          <w:rFonts w:ascii="Times New Roman" w:hAnsi="Times New Roman"/>
          <w:b/>
          <w:sz w:val="28"/>
          <w:szCs w:val="24"/>
        </w:rPr>
      </w:pPr>
      <w:r>
        <w:rPr>
          <w:rFonts w:ascii="Times New Roman" w:hAnsi="Times New Roman"/>
          <w:b/>
          <w:sz w:val="28"/>
          <w:szCs w:val="24"/>
          <w:lang w:val="zh-CN"/>
        </w:rPr>
        <w:t>【正（副）本】</w:t>
      </w:r>
    </w:p>
    <w:p w14:paraId="4F9DF772">
      <w:pPr>
        <w:autoSpaceDE w:val="0"/>
        <w:autoSpaceDN w:val="0"/>
        <w:jc w:val="center"/>
        <w:rPr>
          <w:rFonts w:ascii="Times New Roman" w:hAnsi="Times New Roman"/>
          <w:sz w:val="28"/>
          <w:szCs w:val="24"/>
        </w:rPr>
      </w:pPr>
    </w:p>
    <w:p w14:paraId="7A2AA89A">
      <w:pPr>
        <w:autoSpaceDE w:val="0"/>
        <w:autoSpaceDN w:val="0"/>
        <w:jc w:val="center"/>
        <w:rPr>
          <w:rFonts w:ascii="Times New Roman" w:hAnsi="Times New Roman"/>
          <w:sz w:val="28"/>
          <w:szCs w:val="24"/>
        </w:rPr>
      </w:pPr>
    </w:p>
    <w:p w14:paraId="51931421">
      <w:pPr>
        <w:autoSpaceDE w:val="0"/>
        <w:autoSpaceDN w:val="0"/>
        <w:jc w:val="center"/>
        <w:rPr>
          <w:rFonts w:ascii="Times New Roman" w:hAnsi="Times New Roman"/>
          <w:sz w:val="52"/>
          <w:szCs w:val="52"/>
          <w:u w:val="single"/>
          <w:lang w:val="zh-CN"/>
        </w:rPr>
      </w:pPr>
      <w:r>
        <w:rPr>
          <w:rFonts w:ascii="Times New Roman" w:hAnsi="Times New Roman"/>
          <w:sz w:val="52"/>
          <w:szCs w:val="52"/>
          <w:u w:val="single"/>
          <w:lang w:val="zh-CN"/>
        </w:rPr>
        <w:t>福建钱江水务有限公司融资服务项目-第</w:t>
      </w:r>
      <w:r>
        <w:rPr>
          <w:rFonts w:hint="eastAsia" w:ascii="Times New Roman" w:hAnsi="Times New Roman"/>
          <w:sz w:val="52"/>
          <w:szCs w:val="52"/>
          <w:u w:val="single"/>
        </w:rPr>
        <w:t>2</w:t>
      </w:r>
      <w:r>
        <w:rPr>
          <w:rFonts w:ascii="Times New Roman" w:hAnsi="Times New Roman"/>
          <w:sz w:val="52"/>
          <w:szCs w:val="52"/>
          <w:u w:val="single"/>
          <w:lang w:val="zh-CN"/>
        </w:rPr>
        <w:t>标包</w:t>
      </w:r>
    </w:p>
    <w:p w14:paraId="12781D51">
      <w:pPr>
        <w:autoSpaceDE w:val="0"/>
        <w:autoSpaceDN w:val="0"/>
        <w:jc w:val="center"/>
        <w:rPr>
          <w:rFonts w:ascii="Times New Roman" w:hAnsi="Times New Roman"/>
          <w:sz w:val="60"/>
          <w:szCs w:val="52"/>
          <w:lang w:val="zh-CN"/>
        </w:rPr>
      </w:pPr>
    </w:p>
    <w:p w14:paraId="25097269">
      <w:pPr>
        <w:autoSpaceDE w:val="0"/>
        <w:autoSpaceDN w:val="0"/>
        <w:jc w:val="center"/>
        <w:rPr>
          <w:rFonts w:ascii="Times New Roman" w:hAnsi="Times New Roman"/>
          <w:sz w:val="60"/>
          <w:szCs w:val="52"/>
          <w:lang w:val="zh-CN"/>
        </w:rPr>
      </w:pPr>
      <w:bookmarkStart w:id="84" w:name="_Toc28808"/>
      <w:r>
        <w:rPr>
          <w:rFonts w:ascii="Times New Roman" w:hAnsi="Times New Roman"/>
          <w:sz w:val="60"/>
          <w:szCs w:val="52"/>
          <w:lang w:val="zh-CN"/>
        </w:rPr>
        <w:t>询比响应文件</w:t>
      </w:r>
      <w:bookmarkEnd w:id="84"/>
    </w:p>
    <w:p w14:paraId="7676F2A5">
      <w:pPr>
        <w:autoSpaceDE w:val="0"/>
        <w:autoSpaceDN w:val="0"/>
        <w:jc w:val="center"/>
        <w:rPr>
          <w:rFonts w:ascii="Times New Roman" w:hAnsi="Times New Roman"/>
          <w:sz w:val="28"/>
          <w:szCs w:val="24"/>
        </w:rPr>
      </w:pPr>
    </w:p>
    <w:p w14:paraId="4C478F3D">
      <w:pPr>
        <w:autoSpaceDE w:val="0"/>
        <w:autoSpaceDN w:val="0"/>
        <w:rPr>
          <w:rFonts w:ascii="Times New Roman" w:hAnsi="Times New Roman"/>
          <w:sz w:val="28"/>
          <w:szCs w:val="24"/>
        </w:rPr>
      </w:pPr>
    </w:p>
    <w:p w14:paraId="704EF531">
      <w:pPr>
        <w:autoSpaceDE w:val="0"/>
        <w:autoSpaceDN w:val="0"/>
        <w:jc w:val="center"/>
        <w:rPr>
          <w:rFonts w:ascii="Times New Roman" w:hAnsi="Times New Roman"/>
          <w:sz w:val="28"/>
          <w:szCs w:val="24"/>
        </w:rPr>
      </w:pPr>
    </w:p>
    <w:p w14:paraId="2021576F">
      <w:pPr>
        <w:autoSpaceDE w:val="0"/>
        <w:autoSpaceDN w:val="0"/>
        <w:jc w:val="center"/>
        <w:rPr>
          <w:rFonts w:ascii="Times New Roman" w:hAnsi="Times New Roman"/>
          <w:sz w:val="28"/>
          <w:szCs w:val="24"/>
        </w:rPr>
      </w:pPr>
    </w:p>
    <w:p w14:paraId="3A23EFE7">
      <w:pPr>
        <w:autoSpaceDE w:val="0"/>
        <w:autoSpaceDN w:val="0"/>
        <w:spacing w:line="360" w:lineRule="auto"/>
        <w:rPr>
          <w:rFonts w:ascii="Times New Roman" w:hAnsi="Times New Roman"/>
          <w:sz w:val="32"/>
          <w:szCs w:val="24"/>
        </w:rPr>
      </w:pPr>
      <w:bookmarkStart w:id="85" w:name="_Toc13701"/>
      <w:bookmarkStart w:id="86" w:name="_Toc32413"/>
      <w:r>
        <w:rPr>
          <w:rFonts w:ascii="Times New Roman" w:hAnsi="Times New Roman"/>
          <w:sz w:val="32"/>
          <w:szCs w:val="24"/>
        </w:rPr>
        <w:t>项目名称：</w:t>
      </w:r>
      <w:bookmarkEnd w:id="85"/>
      <w:bookmarkEnd w:id="86"/>
    </w:p>
    <w:p w14:paraId="0FB73BB3">
      <w:pPr>
        <w:autoSpaceDE w:val="0"/>
        <w:autoSpaceDN w:val="0"/>
        <w:spacing w:line="360" w:lineRule="auto"/>
        <w:rPr>
          <w:rFonts w:ascii="Times New Roman" w:hAnsi="Times New Roman"/>
          <w:sz w:val="32"/>
          <w:szCs w:val="24"/>
        </w:rPr>
      </w:pPr>
      <w:bookmarkStart w:id="87" w:name="_Toc28121"/>
      <w:bookmarkStart w:id="88" w:name="_Toc30389"/>
      <w:r>
        <w:rPr>
          <w:rFonts w:ascii="Times New Roman" w:hAnsi="Times New Roman"/>
          <w:sz w:val="32"/>
          <w:szCs w:val="24"/>
        </w:rPr>
        <w:t>项目编号：</w:t>
      </w:r>
      <w:bookmarkEnd w:id="87"/>
      <w:bookmarkEnd w:id="88"/>
    </w:p>
    <w:p w14:paraId="037A0026">
      <w:pPr>
        <w:autoSpaceDE w:val="0"/>
        <w:autoSpaceDN w:val="0"/>
        <w:spacing w:line="360" w:lineRule="auto"/>
        <w:rPr>
          <w:rFonts w:ascii="Times New Roman" w:hAnsi="Times New Roman"/>
          <w:sz w:val="32"/>
          <w:szCs w:val="24"/>
        </w:rPr>
      </w:pPr>
      <w:r>
        <w:rPr>
          <w:rFonts w:ascii="Times New Roman" w:hAnsi="Times New Roman"/>
          <w:sz w:val="32"/>
          <w:szCs w:val="24"/>
        </w:rPr>
        <w:t>响 应 人：</w:t>
      </w:r>
      <w:r>
        <w:rPr>
          <w:rFonts w:ascii="Times New Roman" w:hAnsi="Times New Roman"/>
          <w:sz w:val="32"/>
          <w:szCs w:val="24"/>
          <w:u w:val="single"/>
        </w:rPr>
        <w:t xml:space="preserve">                              </w:t>
      </w:r>
      <w:r>
        <w:rPr>
          <w:rFonts w:ascii="Times New Roman" w:hAnsi="Times New Roman"/>
          <w:sz w:val="32"/>
          <w:szCs w:val="24"/>
        </w:rPr>
        <w:t>（盖单位章）</w:t>
      </w:r>
    </w:p>
    <w:p w14:paraId="7A64552B">
      <w:pPr>
        <w:autoSpaceDE w:val="0"/>
        <w:autoSpaceDN w:val="0"/>
        <w:spacing w:line="360" w:lineRule="auto"/>
        <w:rPr>
          <w:rFonts w:ascii="Times New Roman" w:hAnsi="Times New Roman"/>
          <w:sz w:val="32"/>
          <w:szCs w:val="24"/>
        </w:rPr>
      </w:pPr>
      <w:r>
        <w:rPr>
          <w:rFonts w:ascii="Times New Roman" w:hAnsi="Times New Roman"/>
          <w:sz w:val="32"/>
          <w:szCs w:val="24"/>
        </w:rPr>
        <w:t>法定代表人或其委托代理人：</w:t>
      </w:r>
      <w:r>
        <w:rPr>
          <w:rFonts w:ascii="Times New Roman" w:hAnsi="Times New Roman"/>
          <w:sz w:val="32"/>
          <w:szCs w:val="24"/>
          <w:u w:val="single"/>
        </w:rPr>
        <w:t xml:space="preserve">                </w:t>
      </w:r>
      <w:r>
        <w:rPr>
          <w:rFonts w:ascii="Times New Roman" w:hAnsi="Times New Roman"/>
          <w:sz w:val="32"/>
          <w:szCs w:val="24"/>
        </w:rPr>
        <w:t>（签字）</w:t>
      </w:r>
    </w:p>
    <w:p w14:paraId="762448A1">
      <w:pPr>
        <w:autoSpaceDE w:val="0"/>
        <w:autoSpaceDN w:val="0"/>
        <w:spacing w:line="360" w:lineRule="auto"/>
        <w:rPr>
          <w:rFonts w:ascii="Times New Roman" w:hAnsi="Times New Roman"/>
          <w:sz w:val="32"/>
          <w:szCs w:val="24"/>
        </w:rPr>
      </w:pPr>
      <w:r>
        <w:rPr>
          <w:rFonts w:ascii="Times New Roman" w:hAnsi="Times New Roman"/>
          <w:sz w:val="32"/>
          <w:szCs w:val="24"/>
          <w:lang w:val="zh-CN"/>
        </w:rPr>
        <w:t>日期</w:t>
      </w:r>
      <w:r>
        <w:rPr>
          <w:rFonts w:ascii="Times New Roman" w:hAnsi="Times New Roman"/>
          <w:sz w:val="32"/>
          <w:szCs w:val="24"/>
        </w:rPr>
        <w:t>：</w:t>
      </w:r>
      <w:r>
        <w:rPr>
          <w:rFonts w:ascii="Times New Roman" w:hAnsi="Times New Roman"/>
          <w:sz w:val="32"/>
          <w:szCs w:val="24"/>
          <w:lang w:val="zh-CN"/>
        </w:rPr>
        <w:t>二〇</w:t>
      </w:r>
      <w:r>
        <w:rPr>
          <w:rFonts w:ascii="Times New Roman" w:hAnsi="Times New Roman"/>
          <w:sz w:val="32"/>
          <w:szCs w:val="24"/>
        </w:rPr>
        <w:t>二五</w:t>
      </w:r>
      <w:r>
        <w:rPr>
          <w:rFonts w:ascii="Times New Roman" w:hAnsi="Times New Roman"/>
          <w:sz w:val="32"/>
          <w:szCs w:val="24"/>
          <w:lang w:val="zh-CN"/>
        </w:rPr>
        <w:t>年</w:t>
      </w:r>
      <w:r>
        <w:rPr>
          <w:rFonts w:ascii="Times New Roman" w:hAnsi="Times New Roman"/>
          <w:sz w:val="32"/>
          <w:szCs w:val="24"/>
        </w:rPr>
        <w:t xml:space="preserve">   </w:t>
      </w:r>
      <w:r>
        <w:rPr>
          <w:rFonts w:ascii="Times New Roman" w:hAnsi="Times New Roman"/>
          <w:sz w:val="32"/>
          <w:szCs w:val="24"/>
          <w:lang w:val="zh-CN"/>
        </w:rPr>
        <w:t>月</w:t>
      </w:r>
      <w:r>
        <w:rPr>
          <w:rFonts w:ascii="Times New Roman" w:hAnsi="Times New Roman"/>
          <w:sz w:val="32"/>
          <w:szCs w:val="24"/>
        </w:rPr>
        <w:t xml:space="preserve">     </w:t>
      </w:r>
      <w:r>
        <w:rPr>
          <w:rFonts w:ascii="Times New Roman" w:hAnsi="Times New Roman"/>
          <w:sz w:val="32"/>
          <w:szCs w:val="24"/>
          <w:lang w:val="zh-CN"/>
        </w:rPr>
        <w:t>日</w:t>
      </w:r>
    </w:p>
    <w:p w14:paraId="69034BFC">
      <w:pPr>
        <w:autoSpaceDE w:val="0"/>
        <w:autoSpaceDN w:val="0"/>
        <w:adjustRightInd w:val="0"/>
        <w:snapToGrid w:val="0"/>
        <w:spacing w:line="360" w:lineRule="auto"/>
        <w:rPr>
          <w:rFonts w:ascii="Times New Roman" w:hAnsi="Times New Roman"/>
          <w:sz w:val="18"/>
          <w:szCs w:val="18"/>
        </w:rPr>
      </w:pPr>
    </w:p>
    <w:p w14:paraId="3E86FA5C">
      <w:pPr>
        <w:rPr>
          <w:rFonts w:ascii="Times New Roman" w:hAnsi="Times New Roman"/>
          <w:sz w:val="22"/>
        </w:rPr>
        <w:sectPr>
          <w:footerReference r:id="rId6" w:type="default"/>
          <w:pgSz w:w="11906" w:h="16838"/>
          <w:pgMar w:top="1440" w:right="1800" w:bottom="1440" w:left="1800" w:header="851" w:footer="992" w:gutter="0"/>
          <w:cols w:space="425" w:num="1"/>
          <w:docGrid w:type="lines" w:linePitch="312" w:charSpace="0"/>
        </w:sectPr>
      </w:pPr>
      <w:r>
        <w:rPr>
          <w:rFonts w:ascii="Times New Roman" w:hAnsi="Times New Roman"/>
          <w:sz w:val="22"/>
        </w:rPr>
        <w:t>注：本文件为响应文件正本壹份，副本叁份，每本响应文件包含资格、报价和技术部分。</w:t>
      </w:r>
    </w:p>
    <w:p w14:paraId="5B3F5FE8">
      <w:pPr>
        <w:rPr>
          <w:rFonts w:ascii="Times New Roman" w:hAnsi="Times New Roman"/>
          <w:sz w:val="22"/>
        </w:rPr>
      </w:pPr>
    </w:p>
    <w:p w14:paraId="294F21DF">
      <w:pPr>
        <w:keepNext/>
        <w:keepLines/>
        <w:autoSpaceDE w:val="0"/>
        <w:autoSpaceDN w:val="0"/>
        <w:spacing w:before="120" w:after="120" w:line="360" w:lineRule="auto"/>
        <w:rPr>
          <w:rFonts w:ascii="Times New Roman" w:hAnsi="Times New Roman"/>
          <w:sz w:val="24"/>
          <w:szCs w:val="24"/>
          <w:lang w:val="zh-CN"/>
        </w:rPr>
      </w:pPr>
      <w:r>
        <w:rPr>
          <w:rFonts w:ascii="Times New Roman" w:hAnsi="Times New Roman"/>
          <w:sz w:val="24"/>
          <w:szCs w:val="24"/>
          <w:lang w:val="zh-CN"/>
        </w:rPr>
        <w:t>响应文件包装袋密封件正面和封口格式：</w:t>
      </w:r>
    </w:p>
    <w:p w14:paraId="5BD332A4">
      <w:pPr>
        <w:autoSpaceDE w:val="0"/>
        <w:autoSpaceDN w:val="0"/>
        <w:spacing w:before="100" w:after="100"/>
        <w:jc w:val="center"/>
        <w:rPr>
          <w:rFonts w:ascii="Times New Roman" w:hAnsi="Times New Roman"/>
          <w:b/>
          <w:sz w:val="32"/>
          <w:szCs w:val="32"/>
        </w:rPr>
      </w:pPr>
      <w:r>
        <w:rPr>
          <w:rFonts w:ascii="Times New Roman" w:hAnsi="Times New Roman"/>
          <w:b/>
          <w:sz w:val="32"/>
          <w:szCs w:val="32"/>
          <w:lang w:val="zh-CN"/>
        </w:rPr>
        <w:t>响应文件包装袋密封件正面格式</w:t>
      </w:r>
    </w:p>
    <w:tbl>
      <w:tblPr>
        <w:tblStyle w:val="24"/>
        <w:tblW w:w="5000" w:type="pct"/>
        <w:tblInd w:w="0" w:type="dxa"/>
        <w:tblLayout w:type="autofit"/>
        <w:tblCellMar>
          <w:top w:w="0" w:type="dxa"/>
          <w:left w:w="108" w:type="dxa"/>
          <w:bottom w:w="0" w:type="dxa"/>
          <w:right w:w="108" w:type="dxa"/>
        </w:tblCellMar>
      </w:tblPr>
      <w:tblGrid>
        <w:gridCol w:w="8606"/>
      </w:tblGrid>
      <w:tr w14:paraId="287695E9">
        <w:tblPrEx>
          <w:tblCellMar>
            <w:top w:w="0" w:type="dxa"/>
            <w:left w:w="108" w:type="dxa"/>
            <w:bottom w:w="0" w:type="dxa"/>
            <w:right w:w="108" w:type="dxa"/>
          </w:tblCellMar>
        </w:tblPrEx>
        <w:tc>
          <w:tcPr>
            <w:tcW w:w="5000" w:type="pct"/>
            <w:tcBorders>
              <w:top w:val="single" w:color="auto" w:sz="6" w:space="0"/>
              <w:left w:val="single" w:color="auto" w:sz="6" w:space="0"/>
              <w:bottom w:val="single" w:color="auto" w:sz="6" w:space="0"/>
              <w:right w:val="single" w:color="auto" w:sz="6" w:space="0"/>
            </w:tcBorders>
          </w:tcPr>
          <w:p w14:paraId="504A941F">
            <w:pPr>
              <w:autoSpaceDE w:val="0"/>
              <w:autoSpaceDN w:val="0"/>
              <w:spacing w:line="360" w:lineRule="auto"/>
              <w:rPr>
                <w:rFonts w:ascii="Times New Roman" w:hAnsi="Times New Roman"/>
                <w:sz w:val="24"/>
                <w:szCs w:val="24"/>
                <w:lang w:val="zh-CN"/>
              </w:rPr>
            </w:pPr>
          </w:p>
          <w:p w14:paraId="58213B3B">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 xml:space="preserve">收件人：                                       </w:t>
            </w:r>
          </w:p>
          <w:p w14:paraId="0DEA3BB3">
            <w:pPr>
              <w:autoSpaceDE w:val="0"/>
              <w:autoSpaceDN w:val="0"/>
              <w:spacing w:line="360" w:lineRule="auto"/>
              <w:rPr>
                <w:rFonts w:ascii="Times New Roman" w:hAnsi="Times New Roman"/>
                <w:sz w:val="24"/>
                <w:szCs w:val="24"/>
                <w:lang w:val="zh-CN"/>
              </w:rPr>
            </w:pPr>
          </w:p>
          <w:p w14:paraId="6E00FFC4">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项目名称：</w:t>
            </w:r>
            <w:r>
              <w:rPr>
                <w:rFonts w:ascii="Times New Roman" w:hAnsi="Times New Roman"/>
                <w:sz w:val="24"/>
                <w:szCs w:val="24"/>
                <w:u w:val="single"/>
                <w:lang w:val="zh-CN"/>
              </w:rPr>
              <w:t xml:space="preserve">                                        </w:t>
            </w:r>
          </w:p>
          <w:p w14:paraId="3760F5D1">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项目编号：</w:t>
            </w:r>
            <w:r>
              <w:rPr>
                <w:rFonts w:ascii="Times New Roman" w:hAnsi="Times New Roman"/>
                <w:sz w:val="24"/>
                <w:szCs w:val="24"/>
                <w:u w:val="single"/>
                <w:lang w:val="zh-CN"/>
              </w:rPr>
              <w:t xml:space="preserve">                                        </w:t>
            </w:r>
          </w:p>
          <w:p w14:paraId="1DC33742">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 xml:space="preserve">标段名称： </w:t>
            </w:r>
          </w:p>
          <w:p w14:paraId="652B9AC4">
            <w:pPr>
              <w:autoSpaceDE w:val="0"/>
              <w:autoSpaceDN w:val="0"/>
              <w:spacing w:line="360" w:lineRule="auto"/>
              <w:rPr>
                <w:rFonts w:ascii="Times New Roman" w:hAnsi="Times New Roman"/>
                <w:sz w:val="24"/>
                <w:szCs w:val="24"/>
                <w:lang w:val="zh-CN"/>
              </w:rPr>
            </w:pPr>
          </w:p>
          <w:p w14:paraId="54DD4F75">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 xml:space="preserve">               </w:t>
            </w:r>
          </w:p>
          <w:p w14:paraId="493E17D1">
            <w:pPr>
              <w:autoSpaceDE w:val="0"/>
              <w:autoSpaceDN w:val="0"/>
              <w:spacing w:line="360" w:lineRule="auto"/>
              <w:rPr>
                <w:rFonts w:ascii="Times New Roman" w:hAnsi="Times New Roman"/>
                <w:sz w:val="24"/>
                <w:szCs w:val="24"/>
                <w:lang w:val="zh-CN"/>
              </w:rPr>
            </w:pPr>
          </w:p>
          <w:p w14:paraId="6E247E5F">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响应人名称：</w:t>
            </w:r>
            <w:r>
              <w:rPr>
                <w:rFonts w:ascii="Times New Roman" w:hAnsi="Times New Roman"/>
                <w:sz w:val="24"/>
                <w:szCs w:val="24"/>
                <w:u w:val="single"/>
                <w:lang w:val="zh-CN"/>
              </w:rPr>
              <w:t xml:space="preserve">                                        </w:t>
            </w:r>
            <w:r>
              <w:rPr>
                <w:rFonts w:ascii="Times New Roman" w:hAnsi="Times New Roman"/>
                <w:sz w:val="24"/>
                <w:szCs w:val="24"/>
                <w:lang w:val="zh-CN"/>
              </w:rPr>
              <w:t>（加盖公章）</w:t>
            </w:r>
          </w:p>
          <w:p w14:paraId="0910ED5D">
            <w:pPr>
              <w:autoSpaceDE w:val="0"/>
              <w:autoSpaceDN w:val="0"/>
              <w:spacing w:line="360" w:lineRule="auto"/>
              <w:rPr>
                <w:rFonts w:ascii="Times New Roman" w:hAnsi="Times New Roman"/>
                <w:sz w:val="24"/>
                <w:szCs w:val="24"/>
                <w:lang w:val="zh-CN"/>
              </w:rPr>
            </w:pPr>
          </w:p>
          <w:p w14:paraId="696EBD28">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响应人地址：</w:t>
            </w:r>
            <w:r>
              <w:rPr>
                <w:rFonts w:ascii="Times New Roman" w:hAnsi="Times New Roman"/>
                <w:sz w:val="24"/>
                <w:szCs w:val="24"/>
                <w:u w:val="single"/>
                <w:lang w:val="zh-CN"/>
              </w:rPr>
              <w:t xml:space="preserve">                                        </w:t>
            </w:r>
          </w:p>
          <w:p w14:paraId="585BA675">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邮政编码：</w:t>
            </w:r>
            <w:r>
              <w:rPr>
                <w:rFonts w:ascii="Times New Roman" w:hAnsi="Times New Roman"/>
                <w:sz w:val="24"/>
                <w:szCs w:val="24"/>
                <w:u w:val="single"/>
                <w:lang w:val="zh-CN"/>
              </w:rPr>
              <w:t xml:space="preserve">                                          </w:t>
            </w:r>
          </w:p>
          <w:p w14:paraId="4F0DCB2B">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日    期： 20  年  月  日</w:t>
            </w:r>
          </w:p>
          <w:p w14:paraId="5F380357">
            <w:pPr>
              <w:autoSpaceDE w:val="0"/>
              <w:autoSpaceDN w:val="0"/>
              <w:jc w:val="center"/>
              <w:rPr>
                <w:rFonts w:ascii="Times New Roman" w:hAnsi="Times New Roman"/>
                <w:sz w:val="24"/>
                <w:szCs w:val="24"/>
                <w:lang w:val="zh-CN"/>
              </w:rPr>
            </w:pPr>
          </w:p>
          <w:p w14:paraId="02E50ED4">
            <w:pPr>
              <w:autoSpaceDE w:val="0"/>
              <w:autoSpaceDN w:val="0"/>
              <w:jc w:val="center"/>
              <w:rPr>
                <w:rFonts w:ascii="Times New Roman" w:hAnsi="Times New Roman"/>
                <w:sz w:val="24"/>
                <w:szCs w:val="24"/>
                <w:lang w:val="zh-CN"/>
              </w:rPr>
            </w:pPr>
          </w:p>
        </w:tc>
      </w:tr>
    </w:tbl>
    <w:p w14:paraId="6861DCA4">
      <w:pPr>
        <w:autoSpaceDE w:val="0"/>
        <w:autoSpaceDN w:val="0"/>
        <w:spacing w:before="100" w:after="100"/>
        <w:jc w:val="center"/>
        <w:rPr>
          <w:rFonts w:ascii="Times New Roman" w:hAnsi="Times New Roman"/>
          <w:sz w:val="24"/>
          <w:szCs w:val="24"/>
        </w:rPr>
      </w:pPr>
    </w:p>
    <w:p w14:paraId="0D5A7DFC">
      <w:pPr>
        <w:autoSpaceDE w:val="0"/>
        <w:autoSpaceDN w:val="0"/>
        <w:spacing w:before="100" w:after="100"/>
        <w:jc w:val="center"/>
        <w:rPr>
          <w:rFonts w:ascii="Times New Roman" w:hAnsi="Times New Roman"/>
          <w:b/>
          <w:sz w:val="32"/>
          <w:szCs w:val="32"/>
          <w:lang w:val="zh-CN"/>
        </w:rPr>
      </w:pPr>
      <w:r>
        <w:rPr>
          <w:rFonts w:ascii="Times New Roman" w:hAnsi="Times New Roman"/>
          <w:b/>
          <w:sz w:val="32"/>
          <w:szCs w:val="32"/>
          <w:lang w:val="zh-CN"/>
        </w:rPr>
        <w:t>响应文件封口格式</w:t>
      </w:r>
    </w:p>
    <w:tbl>
      <w:tblPr>
        <w:tblStyle w:val="24"/>
        <w:tblW w:w="5000" w:type="pct"/>
        <w:tblInd w:w="0" w:type="dxa"/>
        <w:tblLayout w:type="autofit"/>
        <w:tblCellMar>
          <w:top w:w="0" w:type="dxa"/>
          <w:left w:w="108" w:type="dxa"/>
          <w:bottom w:w="0" w:type="dxa"/>
          <w:right w:w="108" w:type="dxa"/>
        </w:tblCellMar>
      </w:tblPr>
      <w:tblGrid>
        <w:gridCol w:w="8606"/>
      </w:tblGrid>
      <w:tr w14:paraId="0854DB69">
        <w:tblPrEx>
          <w:tblCellMar>
            <w:top w:w="0" w:type="dxa"/>
            <w:left w:w="108" w:type="dxa"/>
            <w:bottom w:w="0" w:type="dxa"/>
            <w:right w:w="108" w:type="dxa"/>
          </w:tblCellMar>
        </w:tblPrEx>
        <w:trPr>
          <w:trHeight w:val="1401" w:hRule="atLeast"/>
        </w:trPr>
        <w:tc>
          <w:tcPr>
            <w:tcW w:w="5000" w:type="pct"/>
            <w:tcBorders>
              <w:top w:val="single" w:color="auto" w:sz="6" w:space="0"/>
              <w:left w:val="single" w:color="auto" w:sz="6" w:space="0"/>
              <w:bottom w:val="single" w:color="auto" w:sz="6" w:space="0"/>
              <w:right w:val="single" w:color="auto" w:sz="6" w:space="0"/>
            </w:tcBorders>
          </w:tcPr>
          <w:p w14:paraId="639FF06E">
            <w:pPr>
              <w:autoSpaceDE w:val="0"/>
              <w:autoSpaceDN w:val="0"/>
              <w:spacing w:line="360" w:lineRule="auto"/>
              <w:rPr>
                <w:rFonts w:ascii="Times New Roman" w:hAnsi="Times New Roman"/>
                <w:sz w:val="24"/>
                <w:szCs w:val="24"/>
                <w:lang w:val="zh-CN"/>
              </w:rPr>
            </w:pPr>
          </w:p>
          <w:p w14:paraId="09D79B88">
            <w:pPr>
              <w:autoSpaceDE w:val="0"/>
              <w:autoSpaceDN w:val="0"/>
              <w:spacing w:line="360" w:lineRule="auto"/>
              <w:jc w:val="center"/>
              <w:rPr>
                <w:rFonts w:ascii="Times New Roman" w:hAnsi="Times New Roman"/>
                <w:sz w:val="24"/>
                <w:szCs w:val="24"/>
                <w:lang w:val="zh-CN"/>
              </w:rPr>
            </w:pPr>
            <w:r>
              <w:rPr>
                <w:rFonts w:ascii="Times New Roman" w:hAnsi="Times New Roman"/>
                <w:sz w:val="24"/>
                <w:szCs w:val="24"/>
                <w:lang w:val="zh-CN"/>
              </w:rPr>
              <w:t>请勿在20  年  月   日   时  分之前启封</w:t>
            </w:r>
          </w:p>
          <w:p w14:paraId="2F7675A4">
            <w:pPr>
              <w:autoSpaceDE w:val="0"/>
              <w:autoSpaceDN w:val="0"/>
              <w:spacing w:before="100" w:after="100" w:line="360" w:lineRule="auto"/>
              <w:jc w:val="left"/>
              <w:rPr>
                <w:rFonts w:ascii="Times New Roman" w:hAnsi="Times New Roman"/>
                <w:kern w:val="0"/>
                <w:sz w:val="24"/>
                <w:szCs w:val="24"/>
                <w:lang w:val="zh-CN"/>
              </w:rPr>
            </w:pPr>
          </w:p>
          <w:p w14:paraId="6E8BE81F">
            <w:pPr>
              <w:autoSpaceDE w:val="0"/>
              <w:autoSpaceDN w:val="0"/>
              <w:spacing w:line="360" w:lineRule="auto"/>
              <w:jc w:val="center"/>
              <w:rPr>
                <w:rFonts w:ascii="Times New Roman" w:hAnsi="Times New Roman"/>
                <w:sz w:val="24"/>
                <w:szCs w:val="24"/>
                <w:lang w:val="zh-CN"/>
              </w:rPr>
            </w:pPr>
            <w:r>
              <w:rPr>
                <w:rFonts w:ascii="Times New Roman" w:hAnsi="Times New Roman"/>
                <w:sz w:val="24"/>
                <w:szCs w:val="24"/>
                <w:lang w:val="zh-CN"/>
              </w:rPr>
              <w:t>加盖响应人公章</w:t>
            </w:r>
          </w:p>
        </w:tc>
      </w:tr>
    </w:tbl>
    <w:p w14:paraId="3A71FF38">
      <w:pPr>
        <w:rPr>
          <w:rFonts w:ascii="Times New Roman" w:hAnsi="Times New Roman"/>
        </w:rPr>
      </w:pPr>
    </w:p>
    <w:p w14:paraId="4258EA66">
      <w:pPr>
        <w:rPr>
          <w:rFonts w:ascii="Times New Roman" w:hAnsi="Times New Roman"/>
        </w:rPr>
      </w:pPr>
    </w:p>
    <w:p w14:paraId="682529D6">
      <w:pPr>
        <w:rPr>
          <w:rFonts w:ascii="Times New Roman" w:hAnsi="Times New Roman"/>
        </w:rPr>
      </w:pPr>
      <w:bookmarkStart w:id="89" w:name="_Toc111024082"/>
      <w:r>
        <w:rPr>
          <w:rFonts w:ascii="Times New Roman" w:hAnsi="Times New Roman"/>
          <w:b/>
          <w:sz w:val="44"/>
          <w:szCs w:val="32"/>
        </w:rPr>
        <w:br w:type="page"/>
      </w:r>
    </w:p>
    <w:p w14:paraId="74C2EE53">
      <w:pPr>
        <w:jc w:val="center"/>
        <w:outlineLvl w:val="1"/>
        <w:rPr>
          <w:rFonts w:ascii="Times New Roman" w:hAnsi="Times New Roman"/>
          <w:b/>
          <w:sz w:val="44"/>
          <w:szCs w:val="32"/>
        </w:rPr>
      </w:pPr>
      <w:bookmarkStart w:id="90" w:name="_Toc28439"/>
      <w:bookmarkStart w:id="91" w:name="_Toc27633"/>
      <w:bookmarkStart w:id="92" w:name="_Toc15197"/>
      <w:r>
        <w:rPr>
          <w:rFonts w:ascii="Times New Roman" w:hAnsi="Times New Roman"/>
          <w:b/>
          <w:sz w:val="44"/>
          <w:szCs w:val="32"/>
        </w:rPr>
        <w:t>一、资格部分</w:t>
      </w:r>
      <w:bookmarkEnd w:id="90"/>
      <w:bookmarkEnd w:id="91"/>
      <w:bookmarkEnd w:id="92"/>
    </w:p>
    <w:p w14:paraId="753DE275">
      <w:pPr>
        <w:spacing w:line="360" w:lineRule="auto"/>
        <w:rPr>
          <w:rFonts w:ascii="Times New Roman" w:hAnsi="Times New Roman"/>
          <w:sz w:val="36"/>
          <w:szCs w:val="36"/>
        </w:rPr>
      </w:pPr>
    </w:p>
    <w:p w14:paraId="62258987">
      <w:pPr>
        <w:spacing w:line="360" w:lineRule="auto"/>
        <w:jc w:val="center"/>
        <w:rPr>
          <w:rFonts w:ascii="Times New Roman" w:hAnsi="Times New Roman"/>
          <w:sz w:val="32"/>
          <w:szCs w:val="32"/>
        </w:rPr>
      </w:pPr>
      <w:r>
        <w:rPr>
          <w:rFonts w:ascii="Times New Roman" w:hAnsi="Times New Roman"/>
          <w:sz w:val="32"/>
          <w:szCs w:val="32"/>
        </w:rPr>
        <w:t>（福建钱江水务有限公司融资服务项目-第</w:t>
      </w:r>
      <w:r>
        <w:rPr>
          <w:rFonts w:hint="eastAsia" w:ascii="Times New Roman" w:hAnsi="Times New Roman"/>
          <w:sz w:val="32"/>
          <w:szCs w:val="32"/>
        </w:rPr>
        <w:t>2</w:t>
      </w:r>
      <w:r>
        <w:rPr>
          <w:rFonts w:ascii="Times New Roman" w:hAnsi="Times New Roman"/>
          <w:sz w:val="32"/>
          <w:szCs w:val="32"/>
        </w:rPr>
        <w:t>标包）</w:t>
      </w:r>
    </w:p>
    <w:p w14:paraId="5519F6F4">
      <w:pPr>
        <w:widowControl/>
        <w:jc w:val="left"/>
        <w:rPr>
          <w:rFonts w:ascii="Times New Roman" w:hAnsi="Times New Roman"/>
          <w:b/>
          <w:sz w:val="44"/>
          <w:szCs w:val="32"/>
        </w:rPr>
      </w:pPr>
      <w:r>
        <w:rPr>
          <w:rFonts w:ascii="Times New Roman" w:hAnsi="Times New Roman"/>
          <w:b/>
          <w:sz w:val="44"/>
          <w:szCs w:val="32"/>
        </w:rPr>
        <w:br w:type="page"/>
      </w:r>
    </w:p>
    <w:p w14:paraId="6023D298">
      <w:pPr>
        <w:jc w:val="center"/>
        <w:rPr>
          <w:rFonts w:ascii="Times New Roman" w:hAnsi="Times New Roman"/>
          <w:sz w:val="30"/>
          <w:szCs w:val="30"/>
        </w:rPr>
      </w:pPr>
      <w:r>
        <w:rPr>
          <w:rFonts w:ascii="Times New Roman" w:hAnsi="Times New Roman"/>
          <w:b/>
          <w:sz w:val="30"/>
          <w:szCs w:val="30"/>
        </w:rPr>
        <w:t>资格部分目录</w:t>
      </w:r>
    </w:p>
    <w:p w14:paraId="5952F6E5">
      <w:pPr>
        <w:widowControl/>
        <w:spacing w:line="360" w:lineRule="auto"/>
        <w:jc w:val="left"/>
        <w:rPr>
          <w:rFonts w:ascii="Times New Roman" w:hAnsi="Times New Roman"/>
          <w:sz w:val="24"/>
          <w:szCs w:val="24"/>
        </w:rPr>
      </w:pPr>
      <w:r>
        <w:rPr>
          <w:rFonts w:ascii="Times New Roman" w:hAnsi="Times New Roman"/>
          <w:sz w:val="24"/>
          <w:szCs w:val="24"/>
        </w:rPr>
        <w:t>1.营业执照扫描件；</w:t>
      </w:r>
    </w:p>
    <w:p w14:paraId="5ED69BB0">
      <w:pPr>
        <w:widowControl/>
        <w:spacing w:line="360" w:lineRule="auto"/>
        <w:jc w:val="left"/>
        <w:rPr>
          <w:rFonts w:ascii="Times New Roman" w:hAnsi="Times New Roman"/>
          <w:sz w:val="24"/>
          <w:szCs w:val="24"/>
        </w:rPr>
      </w:pPr>
      <w:r>
        <w:rPr>
          <w:rFonts w:ascii="Times New Roman" w:hAnsi="Times New Roman"/>
          <w:sz w:val="24"/>
          <w:szCs w:val="24"/>
        </w:rPr>
        <w:t>2.资格部分要求的其他相关文件</w:t>
      </w:r>
    </w:p>
    <w:p w14:paraId="6A1F8960">
      <w:pPr>
        <w:rPr>
          <w:rFonts w:ascii="Times New Roman" w:hAnsi="Times New Roman"/>
          <w:b/>
          <w:sz w:val="44"/>
          <w:szCs w:val="32"/>
        </w:rPr>
      </w:pPr>
      <w:bookmarkStart w:id="93" w:name="_Toc13075"/>
      <w:bookmarkStart w:id="94" w:name="_Toc25914"/>
      <w:r>
        <w:rPr>
          <w:rFonts w:ascii="Times New Roman" w:hAnsi="Times New Roman"/>
          <w:b/>
          <w:sz w:val="44"/>
          <w:szCs w:val="32"/>
        </w:rPr>
        <w:br w:type="page"/>
      </w:r>
    </w:p>
    <w:p w14:paraId="56E60AEE">
      <w:pPr>
        <w:jc w:val="center"/>
        <w:outlineLvl w:val="1"/>
        <w:rPr>
          <w:rFonts w:ascii="Times New Roman" w:hAnsi="Times New Roman"/>
          <w:b/>
          <w:sz w:val="44"/>
          <w:szCs w:val="32"/>
        </w:rPr>
      </w:pPr>
      <w:bookmarkStart w:id="95" w:name="_Toc30157"/>
      <w:r>
        <w:rPr>
          <w:rFonts w:ascii="Times New Roman" w:hAnsi="Times New Roman"/>
          <w:b/>
          <w:sz w:val="44"/>
          <w:szCs w:val="32"/>
        </w:rPr>
        <w:t>二、报价部分</w:t>
      </w:r>
      <w:bookmarkEnd w:id="89"/>
      <w:bookmarkEnd w:id="93"/>
      <w:bookmarkEnd w:id="94"/>
      <w:bookmarkEnd w:id="95"/>
    </w:p>
    <w:p w14:paraId="523E2B3F">
      <w:pPr>
        <w:spacing w:line="360" w:lineRule="auto"/>
        <w:rPr>
          <w:rFonts w:ascii="Times New Roman" w:hAnsi="Times New Roman"/>
          <w:sz w:val="36"/>
          <w:szCs w:val="36"/>
        </w:rPr>
      </w:pPr>
    </w:p>
    <w:p w14:paraId="360DE11C">
      <w:pPr>
        <w:spacing w:line="360" w:lineRule="auto"/>
        <w:jc w:val="center"/>
        <w:rPr>
          <w:rFonts w:ascii="Times New Roman" w:hAnsi="Times New Roman"/>
          <w:sz w:val="32"/>
          <w:szCs w:val="32"/>
        </w:rPr>
      </w:pPr>
      <w:r>
        <w:rPr>
          <w:rFonts w:ascii="Times New Roman" w:hAnsi="Times New Roman"/>
          <w:sz w:val="32"/>
          <w:szCs w:val="32"/>
        </w:rPr>
        <w:t>（福建钱江水务有限公司融资服务项目-第</w:t>
      </w:r>
      <w:r>
        <w:rPr>
          <w:rFonts w:hint="eastAsia" w:ascii="Times New Roman" w:hAnsi="Times New Roman"/>
          <w:sz w:val="32"/>
          <w:szCs w:val="32"/>
        </w:rPr>
        <w:t>2</w:t>
      </w:r>
      <w:r>
        <w:rPr>
          <w:rFonts w:ascii="Times New Roman" w:hAnsi="Times New Roman"/>
          <w:sz w:val="32"/>
          <w:szCs w:val="32"/>
        </w:rPr>
        <w:t>标包）</w:t>
      </w:r>
    </w:p>
    <w:p w14:paraId="4D81C51D">
      <w:pPr>
        <w:rPr>
          <w:rFonts w:ascii="Times New Roman" w:hAnsi="Times New Roman"/>
        </w:rPr>
      </w:pPr>
    </w:p>
    <w:p w14:paraId="0673D07E">
      <w:pPr>
        <w:rPr>
          <w:rFonts w:ascii="Times New Roman" w:hAnsi="Times New Roman"/>
          <w:b/>
          <w:sz w:val="30"/>
          <w:szCs w:val="30"/>
        </w:rPr>
      </w:pPr>
      <w:bookmarkStart w:id="96" w:name="_Toc454895281"/>
      <w:bookmarkStart w:id="97" w:name="_Toc451442813"/>
      <w:bookmarkStart w:id="98" w:name="_Toc451955147"/>
      <w:bookmarkStart w:id="99" w:name="_Toc454895211"/>
      <w:bookmarkStart w:id="100" w:name="_Toc451848863"/>
      <w:r>
        <w:rPr>
          <w:rFonts w:ascii="Times New Roman" w:hAnsi="Times New Roman"/>
          <w:b/>
          <w:sz w:val="30"/>
          <w:szCs w:val="30"/>
        </w:rPr>
        <w:br w:type="page"/>
      </w:r>
    </w:p>
    <w:bookmarkEnd w:id="96"/>
    <w:bookmarkEnd w:id="97"/>
    <w:bookmarkEnd w:id="98"/>
    <w:bookmarkEnd w:id="99"/>
    <w:bookmarkEnd w:id="100"/>
    <w:p w14:paraId="241214EB">
      <w:pPr>
        <w:jc w:val="center"/>
        <w:outlineLvl w:val="2"/>
        <w:rPr>
          <w:rFonts w:ascii="Times New Roman" w:hAnsi="Times New Roman"/>
          <w:b/>
          <w:bCs/>
          <w:sz w:val="30"/>
          <w:szCs w:val="30"/>
        </w:rPr>
      </w:pPr>
      <w:bookmarkStart w:id="101" w:name="_Toc32599"/>
      <w:bookmarkStart w:id="102" w:name="_Toc28084"/>
      <w:bookmarkStart w:id="103" w:name="_Toc25026"/>
      <w:r>
        <w:rPr>
          <w:rFonts w:ascii="Times New Roman" w:hAnsi="Times New Roman"/>
          <w:b/>
          <w:bCs/>
          <w:sz w:val="30"/>
          <w:szCs w:val="30"/>
        </w:rPr>
        <w:t>福建钱江水务有限公司融资服务项目</w:t>
      </w:r>
      <w:r>
        <w:rPr>
          <w:rFonts w:ascii="Times New Roman" w:hAnsi="Times New Roman"/>
          <w:b/>
          <w:bCs/>
          <w:sz w:val="30"/>
          <w:szCs w:val="30"/>
        </w:rPr>
        <w:br w:type="textWrapping"/>
      </w:r>
      <w:r>
        <w:rPr>
          <w:rFonts w:ascii="Times New Roman" w:hAnsi="Times New Roman"/>
          <w:b/>
          <w:bCs/>
          <w:sz w:val="30"/>
          <w:szCs w:val="30"/>
        </w:rPr>
        <w:t>报价表（第</w:t>
      </w:r>
      <w:r>
        <w:rPr>
          <w:rFonts w:hint="eastAsia" w:ascii="Times New Roman" w:hAnsi="Times New Roman"/>
          <w:b/>
          <w:bCs/>
          <w:sz w:val="30"/>
          <w:szCs w:val="30"/>
        </w:rPr>
        <w:t>2</w:t>
      </w:r>
      <w:r>
        <w:rPr>
          <w:rFonts w:ascii="Times New Roman" w:hAnsi="Times New Roman"/>
          <w:b/>
          <w:bCs/>
          <w:sz w:val="30"/>
          <w:szCs w:val="30"/>
        </w:rPr>
        <w:t>标包）</w:t>
      </w:r>
      <w:bookmarkEnd w:id="101"/>
    </w:p>
    <w:p w14:paraId="64B9361D">
      <w:pPr>
        <w:pStyle w:val="18"/>
        <w:rPr>
          <w:rFonts w:ascii="Times New Roman" w:hAnsi="Times New Roma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129"/>
        <w:gridCol w:w="860"/>
        <w:gridCol w:w="860"/>
        <w:gridCol w:w="860"/>
        <w:gridCol w:w="994"/>
        <w:gridCol w:w="2400"/>
      </w:tblGrid>
      <w:tr w14:paraId="1020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0" w:type="auto"/>
            <w:vAlign w:val="center"/>
          </w:tcPr>
          <w:p w14:paraId="305DDFF6">
            <w:pPr>
              <w:jc w:val="center"/>
              <w:rPr>
                <w:rFonts w:ascii="Times New Roman" w:hAnsi="Times New Roman"/>
                <w:sz w:val="24"/>
                <w:szCs w:val="24"/>
              </w:rPr>
            </w:pPr>
            <w:r>
              <w:rPr>
                <w:rFonts w:ascii="Times New Roman" w:hAnsi="Times New Roman"/>
                <w:sz w:val="24"/>
                <w:szCs w:val="24"/>
              </w:rPr>
              <w:t>贷款金额（万元）</w:t>
            </w:r>
          </w:p>
        </w:tc>
        <w:tc>
          <w:tcPr>
            <w:tcW w:w="0" w:type="auto"/>
            <w:vAlign w:val="center"/>
          </w:tcPr>
          <w:p w14:paraId="1C65A9A6">
            <w:pPr>
              <w:jc w:val="center"/>
              <w:rPr>
                <w:rFonts w:ascii="Times New Roman" w:hAnsi="Times New Roman"/>
                <w:sz w:val="24"/>
                <w:szCs w:val="24"/>
              </w:rPr>
            </w:pPr>
            <w:r>
              <w:rPr>
                <w:rFonts w:ascii="Times New Roman" w:hAnsi="Times New Roman"/>
                <w:sz w:val="24"/>
                <w:szCs w:val="24"/>
              </w:rPr>
              <w:t>贷款利率报价</w:t>
            </w:r>
          </w:p>
        </w:tc>
        <w:tc>
          <w:tcPr>
            <w:tcW w:w="0" w:type="auto"/>
            <w:vAlign w:val="center"/>
          </w:tcPr>
          <w:p w14:paraId="032A1183">
            <w:pPr>
              <w:jc w:val="center"/>
              <w:rPr>
                <w:rFonts w:ascii="Times New Roman" w:hAnsi="Times New Roman"/>
                <w:sz w:val="24"/>
                <w:szCs w:val="24"/>
              </w:rPr>
            </w:pPr>
            <w:r>
              <w:rPr>
                <w:rFonts w:ascii="Times New Roman" w:hAnsi="Times New Roman"/>
                <w:sz w:val="24"/>
                <w:szCs w:val="24"/>
              </w:rPr>
              <w:t>贷款期限</w:t>
            </w:r>
          </w:p>
        </w:tc>
        <w:tc>
          <w:tcPr>
            <w:tcW w:w="0" w:type="auto"/>
            <w:vAlign w:val="center"/>
          </w:tcPr>
          <w:p w14:paraId="7FEE77A6">
            <w:pPr>
              <w:jc w:val="center"/>
              <w:rPr>
                <w:rFonts w:ascii="Times New Roman" w:hAnsi="Times New Roman"/>
                <w:sz w:val="24"/>
                <w:szCs w:val="24"/>
              </w:rPr>
            </w:pPr>
            <w:r>
              <w:rPr>
                <w:rFonts w:ascii="Times New Roman" w:hAnsi="Times New Roman"/>
                <w:sz w:val="24"/>
                <w:szCs w:val="24"/>
              </w:rPr>
              <w:t>担保方式</w:t>
            </w:r>
          </w:p>
        </w:tc>
        <w:tc>
          <w:tcPr>
            <w:tcW w:w="0" w:type="auto"/>
            <w:vAlign w:val="center"/>
          </w:tcPr>
          <w:p w14:paraId="7A7109D3">
            <w:pPr>
              <w:jc w:val="center"/>
              <w:rPr>
                <w:rFonts w:ascii="Times New Roman" w:hAnsi="Times New Roman"/>
                <w:sz w:val="24"/>
                <w:szCs w:val="24"/>
              </w:rPr>
            </w:pPr>
            <w:r>
              <w:rPr>
                <w:rFonts w:ascii="Times New Roman" w:hAnsi="Times New Roman"/>
                <w:sz w:val="24"/>
                <w:szCs w:val="24"/>
              </w:rPr>
              <w:t>用款权限</w:t>
            </w:r>
          </w:p>
        </w:tc>
        <w:tc>
          <w:tcPr>
            <w:tcW w:w="0" w:type="auto"/>
            <w:vAlign w:val="center"/>
          </w:tcPr>
          <w:p w14:paraId="5D92D16C">
            <w:pPr>
              <w:jc w:val="center"/>
              <w:rPr>
                <w:rFonts w:ascii="Times New Roman" w:hAnsi="Times New Roman"/>
                <w:sz w:val="24"/>
                <w:szCs w:val="24"/>
              </w:rPr>
            </w:pPr>
            <w:r>
              <w:rPr>
                <w:rFonts w:ascii="Times New Roman" w:hAnsi="Times New Roman"/>
                <w:sz w:val="24"/>
                <w:szCs w:val="24"/>
              </w:rPr>
              <w:t>放款  时间</w:t>
            </w:r>
          </w:p>
        </w:tc>
        <w:tc>
          <w:tcPr>
            <w:tcW w:w="0" w:type="auto"/>
            <w:vAlign w:val="center"/>
          </w:tcPr>
          <w:p w14:paraId="6478FA1E">
            <w:pPr>
              <w:jc w:val="center"/>
              <w:rPr>
                <w:rFonts w:ascii="Times New Roman" w:hAnsi="Times New Roman"/>
                <w:sz w:val="24"/>
                <w:szCs w:val="24"/>
              </w:rPr>
            </w:pPr>
            <w:r>
              <w:rPr>
                <w:rFonts w:ascii="Times New Roman" w:hAnsi="Times New Roman"/>
                <w:sz w:val="24"/>
                <w:szCs w:val="24"/>
              </w:rPr>
              <w:t>备注(如附加条件、贷款用途要求)</w:t>
            </w:r>
          </w:p>
        </w:tc>
      </w:tr>
      <w:tr w14:paraId="7BB7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0" w:type="auto"/>
            <w:vAlign w:val="center"/>
          </w:tcPr>
          <w:p w14:paraId="40811EE3">
            <w:pPr>
              <w:jc w:val="center"/>
              <w:rPr>
                <w:rFonts w:ascii="Times New Roman" w:hAnsi="Times New Roman"/>
                <w:sz w:val="24"/>
                <w:szCs w:val="24"/>
              </w:rPr>
            </w:pPr>
          </w:p>
        </w:tc>
        <w:tc>
          <w:tcPr>
            <w:tcW w:w="0" w:type="auto"/>
            <w:vAlign w:val="center"/>
          </w:tcPr>
          <w:p w14:paraId="348ACCEC">
            <w:pPr>
              <w:jc w:val="center"/>
              <w:rPr>
                <w:rFonts w:ascii="Times New Roman" w:hAnsi="Times New Roman"/>
                <w:sz w:val="24"/>
                <w:szCs w:val="24"/>
              </w:rPr>
            </w:pPr>
          </w:p>
        </w:tc>
        <w:tc>
          <w:tcPr>
            <w:tcW w:w="0" w:type="auto"/>
            <w:vAlign w:val="center"/>
          </w:tcPr>
          <w:p w14:paraId="4BE44723">
            <w:pPr>
              <w:jc w:val="center"/>
              <w:rPr>
                <w:rFonts w:ascii="Times New Roman" w:hAnsi="Times New Roman"/>
                <w:sz w:val="24"/>
                <w:szCs w:val="24"/>
              </w:rPr>
            </w:pPr>
          </w:p>
        </w:tc>
        <w:tc>
          <w:tcPr>
            <w:tcW w:w="0" w:type="auto"/>
            <w:vAlign w:val="center"/>
          </w:tcPr>
          <w:p w14:paraId="0F89D58C">
            <w:pPr>
              <w:jc w:val="center"/>
              <w:rPr>
                <w:rFonts w:ascii="Times New Roman" w:hAnsi="Times New Roman"/>
                <w:sz w:val="24"/>
                <w:szCs w:val="24"/>
              </w:rPr>
            </w:pPr>
          </w:p>
        </w:tc>
        <w:tc>
          <w:tcPr>
            <w:tcW w:w="0" w:type="auto"/>
            <w:vAlign w:val="center"/>
          </w:tcPr>
          <w:p w14:paraId="35D20871">
            <w:pPr>
              <w:jc w:val="center"/>
              <w:rPr>
                <w:rFonts w:ascii="Times New Roman" w:hAnsi="Times New Roman"/>
                <w:sz w:val="24"/>
                <w:szCs w:val="24"/>
              </w:rPr>
            </w:pPr>
          </w:p>
        </w:tc>
        <w:tc>
          <w:tcPr>
            <w:tcW w:w="0" w:type="auto"/>
            <w:vAlign w:val="center"/>
          </w:tcPr>
          <w:p w14:paraId="559AB3D0">
            <w:pPr>
              <w:jc w:val="center"/>
              <w:rPr>
                <w:rFonts w:ascii="Times New Roman" w:hAnsi="Times New Roman"/>
                <w:sz w:val="24"/>
                <w:szCs w:val="24"/>
              </w:rPr>
            </w:pPr>
          </w:p>
        </w:tc>
        <w:tc>
          <w:tcPr>
            <w:tcW w:w="0" w:type="auto"/>
            <w:vAlign w:val="center"/>
          </w:tcPr>
          <w:p w14:paraId="2AF10775">
            <w:pPr>
              <w:jc w:val="center"/>
              <w:rPr>
                <w:rFonts w:ascii="Times New Roman" w:hAnsi="Times New Roman"/>
                <w:sz w:val="24"/>
                <w:szCs w:val="24"/>
              </w:rPr>
            </w:pPr>
          </w:p>
        </w:tc>
      </w:tr>
    </w:tbl>
    <w:p w14:paraId="58F107F6">
      <w:pPr>
        <w:spacing w:line="600" w:lineRule="exact"/>
        <w:rPr>
          <w:rFonts w:ascii="Times New Roman" w:hAnsi="Times New Roman" w:eastAsia="仿宋_GB2312"/>
          <w:sz w:val="32"/>
          <w:szCs w:val="32"/>
        </w:rPr>
      </w:pPr>
    </w:p>
    <w:p w14:paraId="31CB444E">
      <w:pPr>
        <w:pStyle w:val="23"/>
        <w:rPr>
          <w:rFonts w:ascii="Times New Roman" w:hAnsi="Times New Roman"/>
        </w:rPr>
      </w:pPr>
    </w:p>
    <w:p w14:paraId="5E08394E">
      <w:pPr>
        <w:spacing w:line="560" w:lineRule="exact"/>
        <w:rPr>
          <w:rFonts w:ascii="Times New Roman" w:hAnsi="Times New Roman"/>
          <w:sz w:val="28"/>
          <w:szCs w:val="28"/>
        </w:rPr>
      </w:pPr>
      <w:r>
        <w:rPr>
          <w:rFonts w:ascii="Times New Roman" w:hAnsi="Times New Roman"/>
          <w:sz w:val="28"/>
          <w:szCs w:val="28"/>
        </w:rPr>
        <w:t xml:space="preserve">                          供应商名称(盖章)：</w:t>
      </w:r>
    </w:p>
    <w:p w14:paraId="7C8B3E6C">
      <w:pPr>
        <w:spacing w:line="560" w:lineRule="exact"/>
        <w:rPr>
          <w:rFonts w:ascii="Times New Roman" w:hAnsi="Times New Roman"/>
          <w:sz w:val="28"/>
          <w:szCs w:val="28"/>
        </w:rPr>
      </w:pPr>
      <w:r>
        <w:rPr>
          <w:rFonts w:ascii="Times New Roman" w:hAnsi="Times New Roman"/>
          <w:sz w:val="28"/>
          <w:szCs w:val="28"/>
        </w:rPr>
        <w:t xml:space="preserve">                           </w:t>
      </w:r>
    </w:p>
    <w:p w14:paraId="04E6B451">
      <w:pPr>
        <w:spacing w:line="560" w:lineRule="exact"/>
        <w:jc w:val="right"/>
        <w:rPr>
          <w:rFonts w:ascii="Times New Roman" w:hAnsi="Times New Roman"/>
          <w:sz w:val="28"/>
          <w:szCs w:val="28"/>
        </w:rPr>
      </w:pPr>
      <w:r>
        <w:rPr>
          <w:rFonts w:ascii="Times New Roman" w:hAnsi="Times New Roman"/>
          <w:sz w:val="28"/>
          <w:szCs w:val="28"/>
        </w:rPr>
        <w:t>年   月   日</w:t>
      </w:r>
    </w:p>
    <w:p w14:paraId="21A03D4D">
      <w:pPr>
        <w:rPr>
          <w:rFonts w:ascii="Times New Roman" w:hAnsi="Times New Roman"/>
          <w:b/>
          <w:sz w:val="44"/>
          <w:szCs w:val="44"/>
        </w:rPr>
      </w:pPr>
      <w:r>
        <w:rPr>
          <w:rFonts w:ascii="Times New Roman" w:hAnsi="Times New Roman"/>
          <w:b/>
          <w:sz w:val="44"/>
          <w:szCs w:val="44"/>
        </w:rPr>
        <w:br w:type="page"/>
      </w:r>
    </w:p>
    <w:p w14:paraId="1B5C7D74">
      <w:pPr>
        <w:widowControl/>
        <w:spacing w:line="360" w:lineRule="auto"/>
        <w:jc w:val="center"/>
        <w:outlineLvl w:val="1"/>
        <w:rPr>
          <w:rFonts w:ascii="Times New Roman" w:hAnsi="Times New Roman"/>
          <w:b/>
          <w:sz w:val="44"/>
          <w:szCs w:val="44"/>
        </w:rPr>
      </w:pPr>
      <w:bookmarkStart w:id="104" w:name="_Toc15580"/>
      <w:r>
        <w:rPr>
          <w:rFonts w:ascii="Times New Roman" w:hAnsi="Times New Roman"/>
          <w:b/>
          <w:sz w:val="44"/>
          <w:szCs w:val="44"/>
        </w:rPr>
        <w:t>三、</w:t>
      </w:r>
      <w:bookmarkStart w:id="105" w:name="_Hlk196205773"/>
      <w:r>
        <w:rPr>
          <w:rFonts w:ascii="Times New Roman" w:hAnsi="Times New Roman"/>
          <w:b/>
          <w:sz w:val="44"/>
          <w:szCs w:val="44"/>
        </w:rPr>
        <w:t>技术部分</w:t>
      </w:r>
      <w:bookmarkEnd w:id="102"/>
      <w:bookmarkEnd w:id="103"/>
      <w:bookmarkEnd w:id="104"/>
      <w:bookmarkEnd w:id="105"/>
    </w:p>
    <w:p w14:paraId="464593BF">
      <w:pPr>
        <w:spacing w:line="360" w:lineRule="auto"/>
        <w:rPr>
          <w:rFonts w:ascii="Times New Roman" w:hAnsi="Times New Roman"/>
          <w:sz w:val="36"/>
          <w:szCs w:val="36"/>
        </w:rPr>
      </w:pPr>
    </w:p>
    <w:p w14:paraId="7641E099">
      <w:pPr>
        <w:spacing w:line="360" w:lineRule="auto"/>
        <w:jc w:val="center"/>
        <w:rPr>
          <w:rFonts w:ascii="Times New Roman" w:hAnsi="Times New Roman"/>
          <w:sz w:val="32"/>
          <w:szCs w:val="32"/>
        </w:rPr>
      </w:pPr>
      <w:r>
        <w:rPr>
          <w:rFonts w:ascii="Times New Roman" w:hAnsi="Times New Roman"/>
          <w:sz w:val="32"/>
          <w:szCs w:val="32"/>
        </w:rPr>
        <w:t>（福建钱江水务有限公司融资服务项目-第</w:t>
      </w:r>
      <w:r>
        <w:rPr>
          <w:rFonts w:hint="eastAsia" w:ascii="Times New Roman" w:hAnsi="Times New Roman"/>
          <w:sz w:val="32"/>
          <w:szCs w:val="32"/>
        </w:rPr>
        <w:t>2</w:t>
      </w:r>
      <w:r>
        <w:rPr>
          <w:rFonts w:ascii="Times New Roman" w:hAnsi="Times New Roman"/>
          <w:sz w:val="32"/>
          <w:szCs w:val="32"/>
        </w:rPr>
        <w:t>标包）</w:t>
      </w:r>
    </w:p>
    <w:p w14:paraId="58524218">
      <w:pPr>
        <w:rPr>
          <w:rFonts w:ascii="Times New Roman" w:hAnsi="Times New Roman"/>
        </w:rPr>
      </w:pPr>
    </w:p>
    <w:p w14:paraId="66BE7DF0">
      <w:pPr>
        <w:jc w:val="center"/>
        <w:rPr>
          <w:rFonts w:ascii="Times New Roman" w:hAnsi="Times New Roman"/>
          <w:sz w:val="30"/>
          <w:szCs w:val="30"/>
        </w:rPr>
      </w:pPr>
      <w:r>
        <w:rPr>
          <w:rFonts w:ascii="Times New Roman" w:hAnsi="Times New Roman"/>
          <w:b/>
          <w:sz w:val="30"/>
          <w:szCs w:val="30"/>
        </w:rPr>
        <w:br w:type="page"/>
      </w:r>
      <w:r>
        <w:rPr>
          <w:rFonts w:ascii="Times New Roman" w:hAnsi="Times New Roman"/>
          <w:b/>
          <w:sz w:val="30"/>
          <w:szCs w:val="30"/>
        </w:rPr>
        <w:t>技术部分目录</w:t>
      </w:r>
    </w:p>
    <w:p w14:paraId="34F25D9E">
      <w:pPr>
        <w:spacing w:line="360" w:lineRule="auto"/>
        <w:rPr>
          <w:rFonts w:ascii="Times New Roman" w:hAnsi="Times New Roman"/>
          <w:sz w:val="24"/>
          <w:szCs w:val="24"/>
        </w:rPr>
      </w:pPr>
    </w:p>
    <w:p w14:paraId="50FE52C9">
      <w:pPr>
        <w:spacing w:line="360" w:lineRule="auto"/>
        <w:rPr>
          <w:rFonts w:ascii="Times New Roman" w:hAnsi="Times New Roman"/>
          <w:sz w:val="24"/>
          <w:szCs w:val="24"/>
        </w:rPr>
      </w:pPr>
      <w:bookmarkStart w:id="106" w:name="_Hlk206054822"/>
      <w:r>
        <w:rPr>
          <w:rFonts w:ascii="Times New Roman" w:hAnsi="Times New Roman"/>
          <w:sz w:val="24"/>
          <w:szCs w:val="24"/>
        </w:rPr>
        <w:t>1、技术部分要求的资料</w:t>
      </w:r>
      <w:bookmarkEnd w:id="106"/>
      <w:r>
        <w:rPr>
          <w:rFonts w:ascii="Times New Roman" w:hAnsi="Times New Roman"/>
          <w:sz w:val="24"/>
          <w:szCs w:val="24"/>
        </w:rPr>
        <w:t>；</w:t>
      </w:r>
    </w:p>
    <w:p w14:paraId="47BAC16F">
      <w:pPr>
        <w:spacing w:line="360" w:lineRule="auto"/>
        <w:rPr>
          <w:rFonts w:ascii="Times New Roman" w:hAnsi="Times New Roman"/>
          <w:sz w:val="24"/>
          <w:szCs w:val="24"/>
        </w:rPr>
      </w:pPr>
      <w:r>
        <w:rPr>
          <w:rFonts w:ascii="Times New Roman" w:hAnsi="Times New Roman"/>
          <w:sz w:val="24"/>
          <w:szCs w:val="24"/>
        </w:rPr>
        <w:t>供应商应根据采购文件第三章评审办法相关要求，编写本部分。</w:t>
      </w:r>
      <w:r>
        <w:rPr>
          <w:rFonts w:hint="eastAsia" w:ascii="Times New Roman" w:hAnsi="Times New Roman"/>
          <w:sz w:val="24"/>
          <w:szCs w:val="24"/>
        </w:rPr>
        <w:t>格式自拟。</w:t>
      </w:r>
    </w:p>
    <w:p w14:paraId="629BA60D">
      <w:pPr>
        <w:spacing w:line="360" w:lineRule="auto"/>
        <w:jc w:val="center"/>
        <w:rPr>
          <w:rFonts w:ascii="Times New Roman" w:hAnsi="Times New Roman"/>
          <w:sz w:val="32"/>
          <w:szCs w:val="32"/>
        </w:rPr>
      </w:pP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CB1B5">
    <w:pPr>
      <w:spacing w:line="14" w:lineRule="auto"/>
      <w:rPr>
        <w:rFonts w:hint="eastAsia" w:ascii="宋体" w:hAnsi="宋体" w:cs="宋体"/>
        <w:sz w:val="20"/>
        <w:szCs w:val="21"/>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A241">
    <w:pPr>
      <w:spacing w:line="14" w:lineRule="auto"/>
      <w:rPr>
        <w:rFonts w:hint="eastAsia" w:ascii="宋体" w:hAnsi="宋体" w:cs="宋体"/>
        <w:sz w:val="20"/>
        <w:szCs w:val="21"/>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8F80">
    <w:pPr>
      <w:pStyle w:val="16"/>
      <w:tabs>
        <w:tab w:val="left" w:pos="693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964D1">
                          <w:pPr>
                            <w:pStyle w:val="16"/>
                            <w:jc w:val="center"/>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3964D1">
                    <w:pPr>
                      <w:pStyle w:val="16"/>
                      <w:jc w:val="center"/>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7C845">
    <w:pPr>
      <w:pStyle w:val="17"/>
      <w:pBdr>
        <w:bottom w:val="none" w:color="auto" w:sz="0" w:space="1"/>
      </w:pBdr>
      <w:tabs>
        <w:tab w:val="clear" w:pos="8306"/>
      </w:tabs>
      <w:rPr>
        <w:u w:val="single" w:color="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2D5C9"/>
    <w:multiLevelType w:val="singleLevel"/>
    <w:tmpl w:val="81A2D5C9"/>
    <w:lvl w:ilvl="0" w:tentative="0">
      <w:start w:val="3"/>
      <w:numFmt w:val="decimal"/>
      <w:suff w:val="space"/>
      <w:lvlText w:val="%1."/>
      <w:lvlJc w:val="left"/>
    </w:lvl>
  </w:abstractNum>
  <w:abstractNum w:abstractNumId="1">
    <w:nsid w:val="67B080CC"/>
    <w:multiLevelType w:val="singleLevel"/>
    <w:tmpl w:val="67B080CC"/>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4F"/>
    <w:rsid w:val="00000D4C"/>
    <w:rsid w:val="00001F27"/>
    <w:rsid w:val="00004401"/>
    <w:rsid w:val="00006455"/>
    <w:rsid w:val="0000712E"/>
    <w:rsid w:val="0000791A"/>
    <w:rsid w:val="00012F45"/>
    <w:rsid w:val="000130D0"/>
    <w:rsid w:val="0001666B"/>
    <w:rsid w:val="00017863"/>
    <w:rsid w:val="00017FB2"/>
    <w:rsid w:val="00020904"/>
    <w:rsid w:val="00020F5C"/>
    <w:rsid w:val="00024E42"/>
    <w:rsid w:val="000275C5"/>
    <w:rsid w:val="00030A17"/>
    <w:rsid w:val="00030F99"/>
    <w:rsid w:val="0003400D"/>
    <w:rsid w:val="0003536B"/>
    <w:rsid w:val="00036B89"/>
    <w:rsid w:val="00040B00"/>
    <w:rsid w:val="00041C16"/>
    <w:rsid w:val="00044CFB"/>
    <w:rsid w:val="00046994"/>
    <w:rsid w:val="00051814"/>
    <w:rsid w:val="0005464D"/>
    <w:rsid w:val="000576E6"/>
    <w:rsid w:val="00062C16"/>
    <w:rsid w:val="000663A2"/>
    <w:rsid w:val="00067ED1"/>
    <w:rsid w:val="00071893"/>
    <w:rsid w:val="00073C01"/>
    <w:rsid w:val="0007628D"/>
    <w:rsid w:val="0007728D"/>
    <w:rsid w:val="0008328E"/>
    <w:rsid w:val="00083BF8"/>
    <w:rsid w:val="000846F9"/>
    <w:rsid w:val="0008686F"/>
    <w:rsid w:val="00094A18"/>
    <w:rsid w:val="000A3D7F"/>
    <w:rsid w:val="000A52EC"/>
    <w:rsid w:val="000A6F2D"/>
    <w:rsid w:val="000A772B"/>
    <w:rsid w:val="000B1E32"/>
    <w:rsid w:val="000B67F0"/>
    <w:rsid w:val="000C09C6"/>
    <w:rsid w:val="000C1A3E"/>
    <w:rsid w:val="000C3293"/>
    <w:rsid w:val="000C50A1"/>
    <w:rsid w:val="000C5EF1"/>
    <w:rsid w:val="000C640F"/>
    <w:rsid w:val="000D01C9"/>
    <w:rsid w:val="000D1B34"/>
    <w:rsid w:val="000D5634"/>
    <w:rsid w:val="000E3B69"/>
    <w:rsid w:val="000F1854"/>
    <w:rsid w:val="000F5076"/>
    <w:rsid w:val="00101C7D"/>
    <w:rsid w:val="00104618"/>
    <w:rsid w:val="001161BB"/>
    <w:rsid w:val="00120146"/>
    <w:rsid w:val="00120D3B"/>
    <w:rsid w:val="00131FD8"/>
    <w:rsid w:val="00133496"/>
    <w:rsid w:val="001339B3"/>
    <w:rsid w:val="00134061"/>
    <w:rsid w:val="00134DCC"/>
    <w:rsid w:val="00135B11"/>
    <w:rsid w:val="00136C72"/>
    <w:rsid w:val="00144980"/>
    <w:rsid w:val="001466C7"/>
    <w:rsid w:val="00150B99"/>
    <w:rsid w:val="00152449"/>
    <w:rsid w:val="0015283E"/>
    <w:rsid w:val="001542A3"/>
    <w:rsid w:val="00164634"/>
    <w:rsid w:val="0016528E"/>
    <w:rsid w:val="00165849"/>
    <w:rsid w:val="0016689D"/>
    <w:rsid w:val="001673E1"/>
    <w:rsid w:val="001828B1"/>
    <w:rsid w:val="00183F14"/>
    <w:rsid w:val="00185F1B"/>
    <w:rsid w:val="0019093F"/>
    <w:rsid w:val="00190A34"/>
    <w:rsid w:val="00194D0E"/>
    <w:rsid w:val="001A1847"/>
    <w:rsid w:val="001A2DB3"/>
    <w:rsid w:val="001A5419"/>
    <w:rsid w:val="001B0BDF"/>
    <w:rsid w:val="001B1035"/>
    <w:rsid w:val="001B307C"/>
    <w:rsid w:val="001C1BB6"/>
    <w:rsid w:val="001C2757"/>
    <w:rsid w:val="001C2E95"/>
    <w:rsid w:val="001C7168"/>
    <w:rsid w:val="001D1480"/>
    <w:rsid w:val="001D2764"/>
    <w:rsid w:val="001D53AB"/>
    <w:rsid w:val="001E2547"/>
    <w:rsid w:val="001E259D"/>
    <w:rsid w:val="001E3040"/>
    <w:rsid w:val="001E381E"/>
    <w:rsid w:val="001E3AD6"/>
    <w:rsid w:val="001E4EE6"/>
    <w:rsid w:val="001F0817"/>
    <w:rsid w:val="001F104F"/>
    <w:rsid w:val="001F3B23"/>
    <w:rsid w:val="001F4919"/>
    <w:rsid w:val="0020416A"/>
    <w:rsid w:val="00206238"/>
    <w:rsid w:val="002101A1"/>
    <w:rsid w:val="00210F0B"/>
    <w:rsid w:val="00210F39"/>
    <w:rsid w:val="00211968"/>
    <w:rsid w:val="00216143"/>
    <w:rsid w:val="00222086"/>
    <w:rsid w:val="00223CA2"/>
    <w:rsid w:val="00235D07"/>
    <w:rsid w:val="00240DFE"/>
    <w:rsid w:val="0024233C"/>
    <w:rsid w:val="002426CA"/>
    <w:rsid w:val="00242E5E"/>
    <w:rsid w:val="00243AA8"/>
    <w:rsid w:val="00244D50"/>
    <w:rsid w:val="0024786F"/>
    <w:rsid w:val="002531BF"/>
    <w:rsid w:val="00254069"/>
    <w:rsid w:val="00261A9F"/>
    <w:rsid w:val="00261D9C"/>
    <w:rsid w:val="00261E1F"/>
    <w:rsid w:val="00261EE6"/>
    <w:rsid w:val="00263CF7"/>
    <w:rsid w:val="00264457"/>
    <w:rsid w:val="002652C7"/>
    <w:rsid w:val="00266244"/>
    <w:rsid w:val="00277104"/>
    <w:rsid w:val="00280CDB"/>
    <w:rsid w:val="0028156F"/>
    <w:rsid w:val="002827DB"/>
    <w:rsid w:val="00290462"/>
    <w:rsid w:val="00290ED4"/>
    <w:rsid w:val="0029179C"/>
    <w:rsid w:val="002A0634"/>
    <w:rsid w:val="002A24FD"/>
    <w:rsid w:val="002A3280"/>
    <w:rsid w:val="002A4BE0"/>
    <w:rsid w:val="002A4F59"/>
    <w:rsid w:val="002A5BFE"/>
    <w:rsid w:val="002A7D37"/>
    <w:rsid w:val="002B2690"/>
    <w:rsid w:val="002B2A0E"/>
    <w:rsid w:val="002B2A2E"/>
    <w:rsid w:val="002B3EFA"/>
    <w:rsid w:val="002B6D7C"/>
    <w:rsid w:val="002C5908"/>
    <w:rsid w:val="002C668C"/>
    <w:rsid w:val="002C679A"/>
    <w:rsid w:val="002C7954"/>
    <w:rsid w:val="002D1DC7"/>
    <w:rsid w:val="002D21A0"/>
    <w:rsid w:val="002D3940"/>
    <w:rsid w:val="002D579B"/>
    <w:rsid w:val="002D6768"/>
    <w:rsid w:val="002E0D49"/>
    <w:rsid w:val="002E32FA"/>
    <w:rsid w:val="002E37CD"/>
    <w:rsid w:val="002E3EB8"/>
    <w:rsid w:val="002E6BDA"/>
    <w:rsid w:val="002F000A"/>
    <w:rsid w:val="002F3014"/>
    <w:rsid w:val="002F4BC1"/>
    <w:rsid w:val="002F7FDC"/>
    <w:rsid w:val="00300C8D"/>
    <w:rsid w:val="00300CE9"/>
    <w:rsid w:val="00304ECA"/>
    <w:rsid w:val="00305571"/>
    <w:rsid w:val="00310665"/>
    <w:rsid w:val="0031114F"/>
    <w:rsid w:val="00311D60"/>
    <w:rsid w:val="0031220E"/>
    <w:rsid w:val="00312817"/>
    <w:rsid w:val="00312BBB"/>
    <w:rsid w:val="0031431F"/>
    <w:rsid w:val="00314524"/>
    <w:rsid w:val="00315551"/>
    <w:rsid w:val="0031628A"/>
    <w:rsid w:val="00316F33"/>
    <w:rsid w:val="00325A0E"/>
    <w:rsid w:val="00325F85"/>
    <w:rsid w:val="00327AFE"/>
    <w:rsid w:val="00333619"/>
    <w:rsid w:val="00333C6B"/>
    <w:rsid w:val="0033448A"/>
    <w:rsid w:val="003354E9"/>
    <w:rsid w:val="00341054"/>
    <w:rsid w:val="003439F7"/>
    <w:rsid w:val="00346388"/>
    <w:rsid w:val="00350B61"/>
    <w:rsid w:val="00353999"/>
    <w:rsid w:val="003546B2"/>
    <w:rsid w:val="00364012"/>
    <w:rsid w:val="00365449"/>
    <w:rsid w:val="00365D3D"/>
    <w:rsid w:val="003700C7"/>
    <w:rsid w:val="003714C0"/>
    <w:rsid w:val="00372F1F"/>
    <w:rsid w:val="00375AC4"/>
    <w:rsid w:val="00375ADC"/>
    <w:rsid w:val="003828A2"/>
    <w:rsid w:val="0038785C"/>
    <w:rsid w:val="0039197D"/>
    <w:rsid w:val="003928F5"/>
    <w:rsid w:val="003958CC"/>
    <w:rsid w:val="003963E2"/>
    <w:rsid w:val="00396E74"/>
    <w:rsid w:val="003A1DC0"/>
    <w:rsid w:val="003A2DA6"/>
    <w:rsid w:val="003A6915"/>
    <w:rsid w:val="003A6D7C"/>
    <w:rsid w:val="003A788F"/>
    <w:rsid w:val="003A7BB7"/>
    <w:rsid w:val="003B178E"/>
    <w:rsid w:val="003C21A8"/>
    <w:rsid w:val="003C24E3"/>
    <w:rsid w:val="003C3601"/>
    <w:rsid w:val="003C427A"/>
    <w:rsid w:val="003D0240"/>
    <w:rsid w:val="003D03D9"/>
    <w:rsid w:val="003D0C23"/>
    <w:rsid w:val="003D170B"/>
    <w:rsid w:val="003D1859"/>
    <w:rsid w:val="003D1E93"/>
    <w:rsid w:val="003D4CDD"/>
    <w:rsid w:val="003E1FDF"/>
    <w:rsid w:val="003E3DAE"/>
    <w:rsid w:val="003E4502"/>
    <w:rsid w:val="003E56E6"/>
    <w:rsid w:val="003F22E1"/>
    <w:rsid w:val="003F3D0E"/>
    <w:rsid w:val="003F4074"/>
    <w:rsid w:val="00402235"/>
    <w:rsid w:val="0040272A"/>
    <w:rsid w:val="004033E3"/>
    <w:rsid w:val="004034F0"/>
    <w:rsid w:val="0041226B"/>
    <w:rsid w:val="00415E99"/>
    <w:rsid w:val="004233BD"/>
    <w:rsid w:val="00423CB5"/>
    <w:rsid w:val="00427FBE"/>
    <w:rsid w:val="00430331"/>
    <w:rsid w:val="00431672"/>
    <w:rsid w:val="004317EB"/>
    <w:rsid w:val="0043348E"/>
    <w:rsid w:val="00434EE4"/>
    <w:rsid w:val="00434FED"/>
    <w:rsid w:val="004352AF"/>
    <w:rsid w:val="0043777E"/>
    <w:rsid w:val="00440D9E"/>
    <w:rsid w:val="004414CF"/>
    <w:rsid w:val="00442983"/>
    <w:rsid w:val="00442CC7"/>
    <w:rsid w:val="0044361B"/>
    <w:rsid w:val="00443741"/>
    <w:rsid w:val="00443D81"/>
    <w:rsid w:val="00447258"/>
    <w:rsid w:val="004518DA"/>
    <w:rsid w:val="00451DF0"/>
    <w:rsid w:val="00451F6C"/>
    <w:rsid w:val="004524D5"/>
    <w:rsid w:val="00454F1D"/>
    <w:rsid w:val="004561C7"/>
    <w:rsid w:val="00461448"/>
    <w:rsid w:val="00462AE3"/>
    <w:rsid w:val="00462C79"/>
    <w:rsid w:val="00483004"/>
    <w:rsid w:val="00483265"/>
    <w:rsid w:val="00486796"/>
    <w:rsid w:val="004902AF"/>
    <w:rsid w:val="00493587"/>
    <w:rsid w:val="004942A7"/>
    <w:rsid w:val="00497BD7"/>
    <w:rsid w:val="00497FA0"/>
    <w:rsid w:val="004A4492"/>
    <w:rsid w:val="004A59F5"/>
    <w:rsid w:val="004B0EA0"/>
    <w:rsid w:val="004B1A48"/>
    <w:rsid w:val="004B42A5"/>
    <w:rsid w:val="004B4534"/>
    <w:rsid w:val="004B58E9"/>
    <w:rsid w:val="004B5A9D"/>
    <w:rsid w:val="004B66F8"/>
    <w:rsid w:val="004C45D5"/>
    <w:rsid w:val="004C4618"/>
    <w:rsid w:val="004C4B30"/>
    <w:rsid w:val="004C7638"/>
    <w:rsid w:val="004E018B"/>
    <w:rsid w:val="004E24DF"/>
    <w:rsid w:val="004E325C"/>
    <w:rsid w:val="004F2828"/>
    <w:rsid w:val="004F4F1B"/>
    <w:rsid w:val="004F633C"/>
    <w:rsid w:val="0050023F"/>
    <w:rsid w:val="00501495"/>
    <w:rsid w:val="00503030"/>
    <w:rsid w:val="0050329D"/>
    <w:rsid w:val="0050499E"/>
    <w:rsid w:val="00505F39"/>
    <w:rsid w:val="005068A0"/>
    <w:rsid w:val="00507820"/>
    <w:rsid w:val="00510BF1"/>
    <w:rsid w:val="005114B4"/>
    <w:rsid w:val="005162CE"/>
    <w:rsid w:val="005205B0"/>
    <w:rsid w:val="00521541"/>
    <w:rsid w:val="00521FDC"/>
    <w:rsid w:val="00522BBB"/>
    <w:rsid w:val="005234F9"/>
    <w:rsid w:val="00524B00"/>
    <w:rsid w:val="00526AE4"/>
    <w:rsid w:val="005302F7"/>
    <w:rsid w:val="0053143E"/>
    <w:rsid w:val="005328D1"/>
    <w:rsid w:val="00533326"/>
    <w:rsid w:val="005337FB"/>
    <w:rsid w:val="00535EB1"/>
    <w:rsid w:val="00542637"/>
    <w:rsid w:val="00546084"/>
    <w:rsid w:val="005474A0"/>
    <w:rsid w:val="00553494"/>
    <w:rsid w:val="00555202"/>
    <w:rsid w:val="00557075"/>
    <w:rsid w:val="005615A9"/>
    <w:rsid w:val="00563FDA"/>
    <w:rsid w:val="005675AF"/>
    <w:rsid w:val="00571599"/>
    <w:rsid w:val="00571615"/>
    <w:rsid w:val="00580699"/>
    <w:rsid w:val="00581D72"/>
    <w:rsid w:val="0058311F"/>
    <w:rsid w:val="00583B81"/>
    <w:rsid w:val="005867EE"/>
    <w:rsid w:val="0059090C"/>
    <w:rsid w:val="005917DD"/>
    <w:rsid w:val="00591826"/>
    <w:rsid w:val="005923A1"/>
    <w:rsid w:val="00593CBA"/>
    <w:rsid w:val="00594E1B"/>
    <w:rsid w:val="005A2345"/>
    <w:rsid w:val="005A2E93"/>
    <w:rsid w:val="005A315A"/>
    <w:rsid w:val="005A4078"/>
    <w:rsid w:val="005B1368"/>
    <w:rsid w:val="005B2839"/>
    <w:rsid w:val="005B4996"/>
    <w:rsid w:val="005B4E1F"/>
    <w:rsid w:val="005B559E"/>
    <w:rsid w:val="005B5AA3"/>
    <w:rsid w:val="005C1A5D"/>
    <w:rsid w:val="005C2104"/>
    <w:rsid w:val="005C370C"/>
    <w:rsid w:val="005C3B4D"/>
    <w:rsid w:val="005C78A6"/>
    <w:rsid w:val="005D0E1B"/>
    <w:rsid w:val="005D3099"/>
    <w:rsid w:val="005D3313"/>
    <w:rsid w:val="005D5220"/>
    <w:rsid w:val="005E5AB8"/>
    <w:rsid w:val="005E7131"/>
    <w:rsid w:val="005E7720"/>
    <w:rsid w:val="005F201C"/>
    <w:rsid w:val="005F4D88"/>
    <w:rsid w:val="0060341A"/>
    <w:rsid w:val="00606ACF"/>
    <w:rsid w:val="00607799"/>
    <w:rsid w:val="0060782A"/>
    <w:rsid w:val="006101AA"/>
    <w:rsid w:val="006104F1"/>
    <w:rsid w:val="00615658"/>
    <w:rsid w:val="00616813"/>
    <w:rsid w:val="00620127"/>
    <w:rsid w:val="0062181D"/>
    <w:rsid w:val="0062395F"/>
    <w:rsid w:val="006262A3"/>
    <w:rsid w:val="00626A71"/>
    <w:rsid w:val="00630B20"/>
    <w:rsid w:val="006311BC"/>
    <w:rsid w:val="00631B2F"/>
    <w:rsid w:val="00635F68"/>
    <w:rsid w:val="00636DB1"/>
    <w:rsid w:val="00640A52"/>
    <w:rsid w:val="00641030"/>
    <w:rsid w:val="0064509A"/>
    <w:rsid w:val="00646127"/>
    <w:rsid w:val="00646B9E"/>
    <w:rsid w:val="00650CAE"/>
    <w:rsid w:val="0065292D"/>
    <w:rsid w:val="00654E29"/>
    <w:rsid w:val="00657C9B"/>
    <w:rsid w:val="00660E92"/>
    <w:rsid w:val="00660F8A"/>
    <w:rsid w:val="00661A24"/>
    <w:rsid w:val="00666AD0"/>
    <w:rsid w:val="00674F3E"/>
    <w:rsid w:val="00677D63"/>
    <w:rsid w:val="006911A9"/>
    <w:rsid w:val="00691F84"/>
    <w:rsid w:val="0069245A"/>
    <w:rsid w:val="006930ED"/>
    <w:rsid w:val="00697566"/>
    <w:rsid w:val="00697CFE"/>
    <w:rsid w:val="006A12C2"/>
    <w:rsid w:val="006A1786"/>
    <w:rsid w:val="006A1FCE"/>
    <w:rsid w:val="006A354E"/>
    <w:rsid w:val="006A4C45"/>
    <w:rsid w:val="006B0A8F"/>
    <w:rsid w:val="006B766D"/>
    <w:rsid w:val="006C4C0E"/>
    <w:rsid w:val="006C5124"/>
    <w:rsid w:val="006D3947"/>
    <w:rsid w:val="006D41E4"/>
    <w:rsid w:val="006D5963"/>
    <w:rsid w:val="006D6733"/>
    <w:rsid w:val="006D6D28"/>
    <w:rsid w:val="006D7242"/>
    <w:rsid w:val="006D72FE"/>
    <w:rsid w:val="006E12AC"/>
    <w:rsid w:val="006E3F2E"/>
    <w:rsid w:val="006F13B5"/>
    <w:rsid w:val="006F34E1"/>
    <w:rsid w:val="006F5004"/>
    <w:rsid w:val="006F58B2"/>
    <w:rsid w:val="006F7F36"/>
    <w:rsid w:val="00704ECE"/>
    <w:rsid w:val="007067B8"/>
    <w:rsid w:val="00706F87"/>
    <w:rsid w:val="00707DCD"/>
    <w:rsid w:val="007111D5"/>
    <w:rsid w:val="00711E22"/>
    <w:rsid w:val="00712801"/>
    <w:rsid w:val="00713DFF"/>
    <w:rsid w:val="007146A8"/>
    <w:rsid w:val="00716474"/>
    <w:rsid w:val="007225DE"/>
    <w:rsid w:val="007238D0"/>
    <w:rsid w:val="00723DDE"/>
    <w:rsid w:val="00726155"/>
    <w:rsid w:val="0072678B"/>
    <w:rsid w:val="007274CA"/>
    <w:rsid w:val="00730C76"/>
    <w:rsid w:val="00730CF4"/>
    <w:rsid w:val="007316C3"/>
    <w:rsid w:val="0073507A"/>
    <w:rsid w:val="007412A6"/>
    <w:rsid w:val="007418EB"/>
    <w:rsid w:val="00742E20"/>
    <w:rsid w:val="0074409C"/>
    <w:rsid w:val="007507F9"/>
    <w:rsid w:val="007555D2"/>
    <w:rsid w:val="0076518D"/>
    <w:rsid w:val="00771A64"/>
    <w:rsid w:val="00771FBA"/>
    <w:rsid w:val="00772981"/>
    <w:rsid w:val="00773291"/>
    <w:rsid w:val="00773335"/>
    <w:rsid w:val="007752B5"/>
    <w:rsid w:val="0078748C"/>
    <w:rsid w:val="00787FEC"/>
    <w:rsid w:val="00791383"/>
    <w:rsid w:val="00791B81"/>
    <w:rsid w:val="00795626"/>
    <w:rsid w:val="00796198"/>
    <w:rsid w:val="007A0C1D"/>
    <w:rsid w:val="007A1F4F"/>
    <w:rsid w:val="007A228A"/>
    <w:rsid w:val="007A3C9C"/>
    <w:rsid w:val="007A5A79"/>
    <w:rsid w:val="007B01BC"/>
    <w:rsid w:val="007B037B"/>
    <w:rsid w:val="007B193D"/>
    <w:rsid w:val="007B272A"/>
    <w:rsid w:val="007B56D6"/>
    <w:rsid w:val="007C1487"/>
    <w:rsid w:val="007C3FED"/>
    <w:rsid w:val="007D207D"/>
    <w:rsid w:val="007D32DC"/>
    <w:rsid w:val="007D4956"/>
    <w:rsid w:val="007D50A2"/>
    <w:rsid w:val="007D6830"/>
    <w:rsid w:val="007D7369"/>
    <w:rsid w:val="007E0B02"/>
    <w:rsid w:val="007E52B1"/>
    <w:rsid w:val="007F02A0"/>
    <w:rsid w:val="007F14B9"/>
    <w:rsid w:val="007F272D"/>
    <w:rsid w:val="007F2C4A"/>
    <w:rsid w:val="007F38E4"/>
    <w:rsid w:val="007F4C11"/>
    <w:rsid w:val="007F5E35"/>
    <w:rsid w:val="007F6BD6"/>
    <w:rsid w:val="00800316"/>
    <w:rsid w:val="008015D3"/>
    <w:rsid w:val="00801F8A"/>
    <w:rsid w:val="00803131"/>
    <w:rsid w:val="00805AD6"/>
    <w:rsid w:val="0080722E"/>
    <w:rsid w:val="00811526"/>
    <w:rsid w:val="008168C2"/>
    <w:rsid w:val="00821F76"/>
    <w:rsid w:val="00823FBC"/>
    <w:rsid w:val="008306CD"/>
    <w:rsid w:val="00830CCD"/>
    <w:rsid w:val="008326E9"/>
    <w:rsid w:val="00832A0E"/>
    <w:rsid w:val="00834AF2"/>
    <w:rsid w:val="00840FDE"/>
    <w:rsid w:val="00844F17"/>
    <w:rsid w:val="008465FF"/>
    <w:rsid w:val="00847769"/>
    <w:rsid w:val="0084796F"/>
    <w:rsid w:val="00851993"/>
    <w:rsid w:val="008528E4"/>
    <w:rsid w:val="00854D24"/>
    <w:rsid w:val="00861061"/>
    <w:rsid w:val="00862821"/>
    <w:rsid w:val="008635E9"/>
    <w:rsid w:val="008654BA"/>
    <w:rsid w:val="008670D2"/>
    <w:rsid w:val="008679D5"/>
    <w:rsid w:val="008714B9"/>
    <w:rsid w:val="00872AB4"/>
    <w:rsid w:val="00873AB7"/>
    <w:rsid w:val="00875625"/>
    <w:rsid w:val="00875924"/>
    <w:rsid w:val="0087592A"/>
    <w:rsid w:val="008760B8"/>
    <w:rsid w:val="00877316"/>
    <w:rsid w:val="00877472"/>
    <w:rsid w:val="00882660"/>
    <w:rsid w:val="008839D0"/>
    <w:rsid w:val="00883B81"/>
    <w:rsid w:val="00884CA2"/>
    <w:rsid w:val="008852CC"/>
    <w:rsid w:val="008948DE"/>
    <w:rsid w:val="008965F9"/>
    <w:rsid w:val="00897665"/>
    <w:rsid w:val="008A00CA"/>
    <w:rsid w:val="008A226E"/>
    <w:rsid w:val="008A44BB"/>
    <w:rsid w:val="008A5563"/>
    <w:rsid w:val="008B223F"/>
    <w:rsid w:val="008C3C5C"/>
    <w:rsid w:val="008D2A15"/>
    <w:rsid w:val="008D328F"/>
    <w:rsid w:val="008D34DE"/>
    <w:rsid w:val="008D5361"/>
    <w:rsid w:val="008D73F7"/>
    <w:rsid w:val="008D7EC8"/>
    <w:rsid w:val="008E15E1"/>
    <w:rsid w:val="008E1BBF"/>
    <w:rsid w:val="008E2DCB"/>
    <w:rsid w:val="008E4755"/>
    <w:rsid w:val="008E49C7"/>
    <w:rsid w:val="008E4B97"/>
    <w:rsid w:val="008E56DD"/>
    <w:rsid w:val="008E6E37"/>
    <w:rsid w:val="008F1D34"/>
    <w:rsid w:val="008F31B5"/>
    <w:rsid w:val="008F6E82"/>
    <w:rsid w:val="0090175A"/>
    <w:rsid w:val="0090238A"/>
    <w:rsid w:val="00912209"/>
    <w:rsid w:val="009147BD"/>
    <w:rsid w:val="009147FA"/>
    <w:rsid w:val="00914C39"/>
    <w:rsid w:val="0091593A"/>
    <w:rsid w:val="0091612F"/>
    <w:rsid w:val="00916A5C"/>
    <w:rsid w:val="00916A7C"/>
    <w:rsid w:val="00916EDC"/>
    <w:rsid w:val="0091733F"/>
    <w:rsid w:val="00921939"/>
    <w:rsid w:val="00921E0B"/>
    <w:rsid w:val="00931E33"/>
    <w:rsid w:val="00931F2B"/>
    <w:rsid w:val="00932422"/>
    <w:rsid w:val="00940196"/>
    <w:rsid w:val="00941148"/>
    <w:rsid w:val="0094544F"/>
    <w:rsid w:val="00950594"/>
    <w:rsid w:val="009526F4"/>
    <w:rsid w:val="00952A50"/>
    <w:rsid w:val="009603E5"/>
    <w:rsid w:val="00961D36"/>
    <w:rsid w:val="009652E8"/>
    <w:rsid w:val="00965B44"/>
    <w:rsid w:val="00966479"/>
    <w:rsid w:val="0096715A"/>
    <w:rsid w:val="0096788F"/>
    <w:rsid w:val="009705DA"/>
    <w:rsid w:val="00970751"/>
    <w:rsid w:val="00974C69"/>
    <w:rsid w:val="009803A7"/>
    <w:rsid w:val="009817BC"/>
    <w:rsid w:val="00983D36"/>
    <w:rsid w:val="009840E2"/>
    <w:rsid w:val="00984BE4"/>
    <w:rsid w:val="00987323"/>
    <w:rsid w:val="009877CD"/>
    <w:rsid w:val="00990704"/>
    <w:rsid w:val="0099169D"/>
    <w:rsid w:val="00992724"/>
    <w:rsid w:val="0099540C"/>
    <w:rsid w:val="009959A5"/>
    <w:rsid w:val="00997C1E"/>
    <w:rsid w:val="009A25F3"/>
    <w:rsid w:val="009A3FDF"/>
    <w:rsid w:val="009A41C4"/>
    <w:rsid w:val="009A578B"/>
    <w:rsid w:val="009A7BB1"/>
    <w:rsid w:val="009B3224"/>
    <w:rsid w:val="009B38A3"/>
    <w:rsid w:val="009B38D2"/>
    <w:rsid w:val="009B5863"/>
    <w:rsid w:val="009B5A12"/>
    <w:rsid w:val="009B6220"/>
    <w:rsid w:val="009B6A30"/>
    <w:rsid w:val="009E066B"/>
    <w:rsid w:val="009E1CC1"/>
    <w:rsid w:val="009E5508"/>
    <w:rsid w:val="009E7E3E"/>
    <w:rsid w:val="009F2BC9"/>
    <w:rsid w:val="009F2ED8"/>
    <w:rsid w:val="009F3C25"/>
    <w:rsid w:val="009F4746"/>
    <w:rsid w:val="009F4967"/>
    <w:rsid w:val="009F7677"/>
    <w:rsid w:val="00A0083B"/>
    <w:rsid w:val="00A058AC"/>
    <w:rsid w:val="00A10251"/>
    <w:rsid w:val="00A20090"/>
    <w:rsid w:val="00A20C85"/>
    <w:rsid w:val="00A30818"/>
    <w:rsid w:val="00A34C88"/>
    <w:rsid w:val="00A357F4"/>
    <w:rsid w:val="00A402C7"/>
    <w:rsid w:val="00A4120A"/>
    <w:rsid w:val="00A444EB"/>
    <w:rsid w:val="00A5254C"/>
    <w:rsid w:val="00A559A4"/>
    <w:rsid w:val="00A55B90"/>
    <w:rsid w:val="00A55D7E"/>
    <w:rsid w:val="00A57896"/>
    <w:rsid w:val="00A6009D"/>
    <w:rsid w:val="00A6022F"/>
    <w:rsid w:val="00A60647"/>
    <w:rsid w:val="00A65811"/>
    <w:rsid w:val="00A663AB"/>
    <w:rsid w:val="00A668C8"/>
    <w:rsid w:val="00A670B0"/>
    <w:rsid w:val="00A7073A"/>
    <w:rsid w:val="00A70D60"/>
    <w:rsid w:val="00A72C2D"/>
    <w:rsid w:val="00A72EA4"/>
    <w:rsid w:val="00A7395A"/>
    <w:rsid w:val="00A75142"/>
    <w:rsid w:val="00A758B1"/>
    <w:rsid w:val="00A811BA"/>
    <w:rsid w:val="00A81CEC"/>
    <w:rsid w:val="00A8429D"/>
    <w:rsid w:val="00A84CEA"/>
    <w:rsid w:val="00A93036"/>
    <w:rsid w:val="00A94581"/>
    <w:rsid w:val="00A963C2"/>
    <w:rsid w:val="00A96E98"/>
    <w:rsid w:val="00AA0192"/>
    <w:rsid w:val="00AA268B"/>
    <w:rsid w:val="00AA2FC1"/>
    <w:rsid w:val="00AA3696"/>
    <w:rsid w:val="00AA3EAA"/>
    <w:rsid w:val="00AA45A3"/>
    <w:rsid w:val="00AA5093"/>
    <w:rsid w:val="00AA5274"/>
    <w:rsid w:val="00AA6CAA"/>
    <w:rsid w:val="00AA76D1"/>
    <w:rsid w:val="00AB2A14"/>
    <w:rsid w:val="00AB2DE2"/>
    <w:rsid w:val="00AB42F0"/>
    <w:rsid w:val="00AB4757"/>
    <w:rsid w:val="00AB649D"/>
    <w:rsid w:val="00AC56ED"/>
    <w:rsid w:val="00AC710C"/>
    <w:rsid w:val="00AD0B2A"/>
    <w:rsid w:val="00AD202C"/>
    <w:rsid w:val="00AD2CBD"/>
    <w:rsid w:val="00AD444D"/>
    <w:rsid w:val="00AD4AF2"/>
    <w:rsid w:val="00AD4D7E"/>
    <w:rsid w:val="00AD5DF8"/>
    <w:rsid w:val="00AE1972"/>
    <w:rsid w:val="00AF02C4"/>
    <w:rsid w:val="00AF243D"/>
    <w:rsid w:val="00AF5D3D"/>
    <w:rsid w:val="00AF68AF"/>
    <w:rsid w:val="00B01BDE"/>
    <w:rsid w:val="00B03278"/>
    <w:rsid w:val="00B06009"/>
    <w:rsid w:val="00B110AE"/>
    <w:rsid w:val="00B15787"/>
    <w:rsid w:val="00B15D49"/>
    <w:rsid w:val="00B166E5"/>
    <w:rsid w:val="00B16CF5"/>
    <w:rsid w:val="00B1763C"/>
    <w:rsid w:val="00B2019A"/>
    <w:rsid w:val="00B22F0B"/>
    <w:rsid w:val="00B242DD"/>
    <w:rsid w:val="00B358B9"/>
    <w:rsid w:val="00B3619C"/>
    <w:rsid w:val="00B3736B"/>
    <w:rsid w:val="00B3746C"/>
    <w:rsid w:val="00B434AD"/>
    <w:rsid w:val="00B435E9"/>
    <w:rsid w:val="00B44807"/>
    <w:rsid w:val="00B46550"/>
    <w:rsid w:val="00B517A8"/>
    <w:rsid w:val="00B54BF7"/>
    <w:rsid w:val="00B61BE7"/>
    <w:rsid w:val="00B63AB7"/>
    <w:rsid w:val="00B65857"/>
    <w:rsid w:val="00B65944"/>
    <w:rsid w:val="00B66B0C"/>
    <w:rsid w:val="00B70E2B"/>
    <w:rsid w:val="00B75448"/>
    <w:rsid w:val="00B761E1"/>
    <w:rsid w:val="00B852B9"/>
    <w:rsid w:val="00B877D1"/>
    <w:rsid w:val="00BA0172"/>
    <w:rsid w:val="00BA07CA"/>
    <w:rsid w:val="00BA1C0B"/>
    <w:rsid w:val="00BA3710"/>
    <w:rsid w:val="00BA4419"/>
    <w:rsid w:val="00BB12AF"/>
    <w:rsid w:val="00BB1631"/>
    <w:rsid w:val="00BB245F"/>
    <w:rsid w:val="00BB3C3C"/>
    <w:rsid w:val="00BB462F"/>
    <w:rsid w:val="00BB4DDA"/>
    <w:rsid w:val="00BB51EB"/>
    <w:rsid w:val="00BC1468"/>
    <w:rsid w:val="00BC2809"/>
    <w:rsid w:val="00BC5AEA"/>
    <w:rsid w:val="00BD3C1C"/>
    <w:rsid w:val="00BD7D2C"/>
    <w:rsid w:val="00BE0CC0"/>
    <w:rsid w:val="00BE1857"/>
    <w:rsid w:val="00BE1BE3"/>
    <w:rsid w:val="00BE1CCC"/>
    <w:rsid w:val="00BE27B7"/>
    <w:rsid w:val="00BF3D7E"/>
    <w:rsid w:val="00BF507A"/>
    <w:rsid w:val="00BF59F3"/>
    <w:rsid w:val="00BF6116"/>
    <w:rsid w:val="00BF67AB"/>
    <w:rsid w:val="00BF6A2A"/>
    <w:rsid w:val="00BF7400"/>
    <w:rsid w:val="00C025E2"/>
    <w:rsid w:val="00C06750"/>
    <w:rsid w:val="00C070D2"/>
    <w:rsid w:val="00C13A88"/>
    <w:rsid w:val="00C143E7"/>
    <w:rsid w:val="00C151FE"/>
    <w:rsid w:val="00C178BC"/>
    <w:rsid w:val="00C213ED"/>
    <w:rsid w:val="00C25F4B"/>
    <w:rsid w:val="00C26072"/>
    <w:rsid w:val="00C2780D"/>
    <w:rsid w:val="00C31DA6"/>
    <w:rsid w:val="00C32CFB"/>
    <w:rsid w:val="00C3744D"/>
    <w:rsid w:val="00C377D0"/>
    <w:rsid w:val="00C437B9"/>
    <w:rsid w:val="00C43DDA"/>
    <w:rsid w:val="00C5053E"/>
    <w:rsid w:val="00C510D2"/>
    <w:rsid w:val="00C51848"/>
    <w:rsid w:val="00C52A12"/>
    <w:rsid w:val="00C54E16"/>
    <w:rsid w:val="00C56276"/>
    <w:rsid w:val="00C654C4"/>
    <w:rsid w:val="00C66188"/>
    <w:rsid w:val="00C66B1A"/>
    <w:rsid w:val="00C672E3"/>
    <w:rsid w:val="00C67C95"/>
    <w:rsid w:val="00C70E5E"/>
    <w:rsid w:val="00C71225"/>
    <w:rsid w:val="00C71BCF"/>
    <w:rsid w:val="00C72111"/>
    <w:rsid w:val="00C73AE2"/>
    <w:rsid w:val="00C74BB2"/>
    <w:rsid w:val="00C769B8"/>
    <w:rsid w:val="00C81226"/>
    <w:rsid w:val="00C81EFA"/>
    <w:rsid w:val="00C830F0"/>
    <w:rsid w:val="00C85D3B"/>
    <w:rsid w:val="00C920B2"/>
    <w:rsid w:val="00C9424E"/>
    <w:rsid w:val="00CA4256"/>
    <w:rsid w:val="00CA7F7C"/>
    <w:rsid w:val="00CB174B"/>
    <w:rsid w:val="00CB4C7F"/>
    <w:rsid w:val="00CC12FB"/>
    <w:rsid w:val="00CD0FF9"/>
    <w:rsid w:val="00CD2A9D"/>
    <w:rsid w:val="00CD4ABC"/>
    <w:rsid w:val="00CD7A97"/>
    <w:rsid w:val="00CF0D40"/>
    <w:rsid w:val="00CF1F72"/>
    <w:rsid w:val="00CF3F8A"/>
    <w:rsid w:val="00CF3FC7"/>
    <w:rsid w:val="00D00FEF"/>
    <w:rsid w:val="00D02E8F"/>
    <w:rsid w:val="00D02F81"/>
    <w:rsid w:val="00D03D17"/>
    <w:rsid w:val="00D05E2A"/>
    <w:rsid w:val="00D12B98"/>
    <w:rsid w:val="00D15979"/>
    <w:rsid w:val="00D20CF9"/>
    <w:rsid w:val="00D22A24"/>
    <w:rsid w:val="00D2462F"/>
    <w:rsid w:val="00D2498E"/>
    <w:rsid w:val="00D25BD3"/>
    <w:rsid w:val="00D26757"/>
    <w:rsid w:val="00D3385B"/>
    <w:rsid w:val="00D340FD"/>
    <w:rsid w:val="00D34D3E"/>
    <w:rsid w:val="00D35AA6"/>
    <w:rsid w:val="00D4463C"/>
    <w:rsid w:val="00D446E5"/>
    <w:rsid w:val="00D45D0C"/>
    <w:rsid w:val="00D50D0D"/>
    <w:rsid w:val="00D5378E"/>
    <w:rsid w:val="00D541C8"/>
    <w:rsid w:val="00D55992"/>
    <w:rsid w:val="00D56C53"/>
    <w:rsid w:val="00D620FA"/>
    <w:rsid w:val="00D6403A"/>
    <w:rsid w:val="00D6551A"/>
    <w:rsid w:val="00D67329"/>
    <w:rsid w:val="00D75421"/>
    <w:rsid w:val="00D76F74"/>
    <w:rsid w:val="00D843C0"/>
    <w:rsid w:val="00D92B0F"/>
    <w:rsid w:val="00D9306E"/>
    <w:rsid w:val="00D94543"/>
    <w:rsid w:val="00D94721"/>
    <w:rsid w:val="00D960F5"/>
    <w:rsid w:val="00D968C5"/>
    <w:rsid w:val="00D97457"/>
    <w:rsid w:val="00DA79A5"/>
    <w:rsid w:val="00DA7F59"/>
    <w:rsid w:val="00DB07A5"/>
    <w:rsid w:val="00DB55EE"/>
    <w:rsid w:val="00DC0EC7"/>
    <w:rsid w:val="00DC34F1"/>
    <w:rsid w:val="00DC680D"/>
    <w:rsid w:val="00DD0E33"/>
    <w:rsid w:val="00DD163E"/>
    <w:rsid w:val="00DD5AC1"/>
    <w:rsid w:val="00DE0036"/>
    <w:rsid w:val="00DE2F70"/>
    <w:rsid w:val="00DE4C4E"/>
    <w:rsid w:val="00DE5117"/>
    <w:rsid w:val="00DE6981"/>
    <w:rsid w:val="00DF66DC"/>
    <w:rsid w:val="00DF79B2"/>
    <w:rsid w:val="00E01FE5"/>
    <w:rsid w:val="00E0491E"/>
    <w:rsid w:val="00E06402"/>
    <w:rsid w:val="00E06EFA"/>
    <w:rsid w:val="00E118FC"/>
    <w:rsid w:val="00E122B3"/>
    <w:rsid w:val="00E12CA7"/>
    <w:rsid w:val="00E14600"/>
    <w:rsid w:val="00E151DF"/>
    <w:rsid w:val="00E15BBE"/>
    <w:rsid w:val="00E1742E"/>
    <w:rsid w:val="00E27233"/>
    <w:rsid w:val="00E30D6C"/>
    <w:rsid w:val="00E377FA"/>
    <w:rsid w:val="00E40C32"/>
    <w:rsid w:val="00E46993"/>
    <w:rsid w:val="00E522FD"/>
    <w:rsid w:val="00E53B35"/>
    <w:rsid w:val="00E546ED"/>
    <w:rsid w:val="00E64C1A"/>
    <w:rsid w:val="00E700E2"/>
    <w:rsid w:val="00E76090"/>
    <w:rsid w:val="00E76264"/>
    <w:rsid w:val="00E80666"/>
    <w:rsid w:val="00E8217B"/>
    <w:rsid w:val="00E833E9"/>
    <w:rsid w:val="00E90539"/>
    <w:rsid w:val="00E91E43"/>
    <w:rsid w:val="00E9486C"/>
    <w:rsid w:val="00E95B35"/>
    <w:rsid w:val="00EA014F"/>
    <w:rsid w:val="00EA0DFB"/>
    <w:rsid w:val="00EA3306"/>
    <w:rsid w:val="00EA4A44"/>
    <w:rsid w:val="00EA6A0D"/>
    <w:rsid w:val="00EA6EE9"/>
    <w:rsid w:val="00EB0845"/>
    <w:rsid w:val="00EB136A"/>
    <w:rsid w:val="00EB13A5"/>
    <w:rsid w:val="00EB57E5"/>
    <w:rsid w:val="00EB670D"/>
    <w:rsid w:val="00EB6852"/>
    <w:rsid w:val="00EB7E27"/>
    <w:rsid w:val="00EC3403"/>
    <w:rsid w:val="00EC368D"/>
    <w:rsid w:val="00EC3CC4"/>
    <w:rsid w:val="00EC4EFF"/>
    <w:rsid w:val="00EC4F3E"/>
    <w:rsid w:val="00EC71CF"/>
    <w:rsid w:val="00EC741F"/>
    <w:rsid w:val="00ED3063"/>
    <w:rsid w:val="00ED3475"/>
    <w:rsid w:val="00ED3652"/>
    <w:rsid w:val="00EE1B1F"/>
    <w:rsid w:val="00EE3099"/>
    <w:rsid w:val="00EE6456"/>
    <w:rsid w:val="00EE6E81"/>
    <w:rsid w:val="00EF101D"/>
    <w:rsid w:val="00EF10F8"/>
    <w:rsid w:val="00EF60BA"/>
    <w:rsid w:val="00F04DB4"/>
    <w:rsid w:val="00F05199"/>
    <w:rsid w:val="00F16BA9"/>
    <w:rsid w:val="00F20147"/>
    <w:rsid w:val="00F24073"/>
    <w:rsid w:val="00F251A1"/>
    <w:rsid w:val="00F26DDE"/>
    <w:rsid w:val="00F2753E"/>
    <w:rsid w:val="00F36D5B"/>
    <w:rsid w:val="00F42D42"/>
    <w:rsid w:val="00F44F80"/>
    <w:rsid w:val="00F450BB"/>
    <w:rsid w:val="00F50596"/>
    <w:rsid w:val="00F52296"/>
    <w:rsid w:val="00F523F1"/>
    <w:rsid w:val="00F52FCF"/>
    <w:rsid w:val="00F53D17"/>
    <w:rsid w:val="00F55074"/>
    <w:rsid w:val="00F550A4"/>
    <w:rsid w:val="00F56781"/>
    <w:rsid w:val="00F600A5"/>
    <w:rsid w:val="00F60958"/>
    <w:rsid w:val="00F60B23"/>
    <w:rsid w:val="00F62EAE"/>
    <w:rsid w:val="00F6360D"/>
    <w:rsid w:val="00F63C4A"/>
    <w:rsid w:val="00F64F2D"/>
    <w:rsid w:val="00F75687"/>
    <w:rsid w:val="00F76212"/>
    <w:rsid w:val="00F765EC"/>
    <w:rsid w:val="00F778F2"/>
    <w:rsid w:val="00F80519"/>
    <w:rsid w:val="00F83821"/>
    <w:rsid w:val="00F8440A"/>
    <w:rsid w:val="00F84FFA"/>
    <w:rsid w:val="00F87A29"/>
    <w:rsid w:val="00F97537"/>
    <w:rsid w:val="00FA0934"/>
    <w:rsid w:val="00FA2E09"/>
    <w:rsid w:val="00FB1303"/>
    <w:rsid w:val="00FB6483"/>
    <w:rsid w:val="00FC26C1"/>
    <w:rsid w:val="00FC2CBE"/>
    <w:rsid w:val="00FC5D57"/>
    <w:rsid w:val="00FC76A6"/>
    <w:rsid w:val="00FD1B07"/>
    <w:rsid w:val="00FD2128"/>
    <w:rsid w:val="00FD4BBF"/>
    <w:rsid w:val="00FD5E10"/>
    <w:rsid w:val="00FE3408"/>
    <w:rsid w:val="00FE3F14"/>
    <w:rsid w:val="00FE67F5"/>
    <w:rsid w:val="00FE6E8F"/>
    <w:rsid w:val="00FE7CD3"/>
    <w:rsid w:val="00FF1D00"/>
    <w:rsid w:val="00FF74BF"/>
    <w:rsid w:val="01436412"/>
    <w:rsid w:val="016F45ED"/>
    <w:rsid w:val="01846A5E"/>
    <w:rsid w:val="03787EA2"/>
    <w:rsid w:val="03E66B7D"/>
    <w:rsid w:val="048B3E34"/>
    <w:rsid w:val="0491616D"/>
    <w:rsid w:val="04BA6E83"/>
    <w:rsid w:val="05DA5A52"/>
    <w:rsid w:val="05ED58B4"/>
    <w:rsid w:val="064E4A5A"/>
    <w:rsid w:val="078A7FD5"/>
    <w:rsid w:val="07943000"/>
    <w:rsid w:val="07B5781F"/>
    <w:rsid w:val="081C087A"/>
    <w:rsid w:val="0A2368BD"/>
    <w:rsid w:val="0B9C1B4C"/>
    <w:rsid w:val="0D2B0107"/>
    <w:rsid w:val="0FB45B0D"/>
    <w:rsid w:val="102773D4"/>
    <w:rsid w:val="10BF7C7B"/>
    <w:rsid w:val="125E66E4"/>
    <w:rsid w:val="12AA1CE7"/>
    <w:rsid w:val="132933E9"/>
    <w:rsid w:val="13462702"/>
    <w:rsid w:val="13FA09D4"/>
    <w:rsid w:val="14C3448E"/>
    <w:rsid w:val="1523135E"/>
    <w:rsid w:val="175C5D77"/>
    <w:rsid w:val="17B70D07"/>
    <w:rsid w:val="18E24E4F"/>
    <w:rsid w:val="19FB3CAE"/>
    <w:rsid w:val="1A2D0A0D"/>
    <w:rsid w:val="1B754A9E"/>
    <w:rsid w:val="1BDC68CC"/>
    <w:rsid w:val="1C4C3A51"/>
    <w:rsid w:val="1CFA7EBC"/>
    <w:rsid w:val="1E141D18"/>
    <w:rsid w:val="1FBD122E"/>
    <w:rsid w:val="1FF64400"/>
    <w:rsid w:val="205C7FDB"/>
    <w:rsid w:val="205E6558"/>
    <w:rsid w:val="2297354C"/>
    <w:rsid w:val="233E521D"/>
    <w:rsid w:val="238241FC"/>
    <w:rsid w:val="239E534D"/>
    <w:rsid w:val="246D3414"/>
    <w:rsid w:val="25880798"/>
    <w:rsid w:val="27A97FAA"/>
    <w:rsid w:val="27DC0726"/>
    <w:rsid w:val="283A2E44"/>
    <w:rsid w:val="285C6DCA"/>
    <w:rsid w:val="29A21352"/>
    <w:rsid w:val="29D45A08"/>
    <w:rsid w:val="2BC755F7"/>
    <w:rsid w:val="2C2F73EA"/>
    <w:rsid w:val="2C5454F0"/>
    <w:rsid w:val="2F7C4E13"/>
    <w:rsid w:val="3170303B"/>
    <w:rsid w:val="32A43EEB"/>
    <w:rsid w:val="355B4487"/>
    <w:rsid w:val="35E05EE6"/>
    <w:rsid w:val="360867E3"/>
    <w:rsid w:val="382947EF"/>
    <w:rsid w:val="3AE16FF3"/>
    <w:rsid w:val="3B6F030A"/>
    <w:rsid w:val="3C0D3013"/>
    <w:rsid w:val="3C4E0CC8"/>
    <w:rsid w:val="3C62067E"/>
    <w:rsid w:val="3C9F0383"/>
    <w:rsid w:val="3D152666"/>
    <w:rsid w:val="3E4854BB"/>
    <w:rsid w:val="3EAD1184"/>
    <w:rsid w:val="40F300AD"/>
    <w:rsid w:val="4162324B"/>
    <w:rsid w:val="41B16E6C"/>
    <w:rsid w:val="41CA31D1"/>
    <w:rsid w:val="41D917B2"/>
    <w:rsid w:val="41DD5B83"/>
    <w:rsid w:val="43C71A8C"/>
    <w:rsid w:val="440D3C5A"/>
    <w:rsid w:val="444102FC"/>
    <w:rsid w:val="45886FF9"/>
    <w:rsid w:val="480706A9"/>
    <w:rsid w:val="48FA4739"/>
    <w:rsid w:val="49292BB0"/>
    <w:rsid w:val="49B93C25"/>
    <w:rsid w:val="4B014A4C"/>
    <w:rsid w:val="4B223556"/>
    <w:rsid w:val="4C3B4DC5"/>
    <w:rsid w:val="4CB9014E"/>
    <w:rsid w:val="4D5C1497"/>
    <w:rsid w:val="4E0F475B"/>
    <w:rsid w:val="4E742810"/>
    <w:rsid w:val="50437B21"/>
    <w:rsid w:val="50C35389"/>
    <w:rsid w:val="51E23F34"/>
    <w:rsid w:val="52102850"/>
    <w:rsid w:val="526B2008"/>
    <w:rsid w:val="53C91DA4"/>
    <w:rsid w:val="550A68DB"/>
    <w:rsid w:val="55A0269C"/>
    <w:rsid w:val="57E66915"/>
    <w:rsid w:val="5B5B4DF1"/>
    <w:rsid w:val="5B8F6B3C"/>
    <w:rsid w:val="5B9D702A"/>
    <w:rsid w:val="5DC749D9"/>
    <w:rsid w:val="5E067761"/>
    <w:rsid w:val="5EA52572"/>
    <w:rsid w:val="5EA545E2"/>
    <w:rsid w:val="5EBE02DB"/>
    <w:rsid w:val="5F6F2B4C"/>
    <w:rsid w:val="606E2A5F"/>
    <w:rsid w:val="614959F7"/>
    <w:rsid w:val="61FD4BDE"/>
    <w:rsid w:val="62F91471"/>
    <w:rsid w:val="638B7F88"/>
    <w:rsid w:val="66AF21DF"/>
    <w:rsid w:val="677772D0"/>
    <w:rsid w:val="68021003"/>
    <w:rsid w:val="68C53F3C"/>
    <w:rsid w:val="68C606AA"/>
    <w:rsid w:val="699512C7"/>
    <w:rsid w:val="6CCB213B"/>
    <w:rsid w:val="6D0441FB"/>
    <w:rsid w:val="6D8E6C32"/>
    <w:rsid w:val="6F5311A2"/>
    <w:rsid w:val="701821FC"/>
    <w:rsid w:val="72591622"/>
    <w:rsid w:val="72723B4B"/>
    <w:rsid w:val="73ED4347"/>
    <w:rsid w:val="7650728D"/>
    <w:rsid w:val="777D3C34"/>
    <w:rsid w:val="7A2F56B9"/>
    <w:rsid w:val="7A314360"/>
    <w:rsid w:val="7ABD5BC0"/>
    <w:rsid w:val="7BB42002"/>
    <w:rsid w:val="7C80044E"/>
    <w:rsid w:val="7EBA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uiPriority w:val="9"/>
    <w:pPr>
      <w:keepNext/>
      <w:keepLines/>
      <w:spacing w:line="560" w:lineRule="exact"/>
      <w:outlineLvl w:val="0"/>
    </w:pPr>
    <w:rPr>
      <w:b/>
      <w:bCs/>
      <w:kern w:val="44"/>
      <w:sz w:val="24"/>
      <w:szCs w:val="44"/>
    </w:rPr>
  </w:style>
  <w:style w:type="paragraph" w:styleId="3">
    <w:name w:val="heading 2"/>
    <w:basedOn w:val="1"/>
    <w:next w:val="1"/>
    <w:link w:val="49"/>
    <w:unhideWhenUsed/>
    <w:qFormat/>
    <w:uiPriority w:val="9"/>
    <w:pPr>
      <w:keepNext/>
      <w:keepLines/>
      <w:widowControl/>
      <w:spacing w:line="560" w:lineRule="exact"/>
      <w:jc w:val="left"/>
      <w:outlineLvl w:val="1"/>
    </w:pPr>
    <w:rPr>
      <w:rFonts w:ascii="Cambria" w:hAnsi="Cambria"/>
      <w:b/>
      <w:bCs/>
      <w:kern w:val="0"/>
      <w:sz w:val="24"/>
      <w:szCs w:val="32"/>
    </w:rPr>
  </w:style>
  <w:style w:type="paragraph" w:styleId="4">
    <w:name w:val="heading 3"/>
    <w:basedOn w:val="1"/>
    <w:next w:val="1"/>
    <w:link w:val="39"/>
    <w:unhideWhenUsed/>
    <w:qFormat/>
    <w:uiPriority w:val="0"/>
    <w:pPr>
      <w:keepNext/>
      <w:keepLines/>
      <w:spacing w:before="260" w:after="260" w:line="416" w:lineRule="auto"/>
      <w:outlineLvl w:val="2"/>
    </w:pPr>
    <w:rPr>
      <w:rFonts w:ascii="Times New Roman" w:hAnsi="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2"/>
    <w:qFormat/>
    <w:uiPriority w:val="0"/>
    <w:pPr>
      <w:adjustRightInd w:val="0"/>
      <w:snapToGrid w:val="0"/>
      <w:spacing w:line="360" w:lineRule="atLeast"/>
      <w:ind w:firstLine="482" w:firstLineChars="200"/>
      <w:textAlignment w:val="baseline"/>
    </w:pPr>
    <w:rPr>
      <w:rFonts w:ascii="Times New Roman" w:hAnsi="Times New Roman"/>
      <w:kern w:val="0"/>
      <w:sz w:val="24"/>
      <w:szCs w:val="20"/>
    </w:rPr>
  </w:style>
  <w:style w:type="paragraph" w:styleId="6">
    <w:name w:val="annotation text"/>
    <w:basedOn w:val="1"/>
    <w:link w:val="41"/>
    <w:semiHidden/>
    <w:unhideWhenUsed/>
    <w:qFormat/>
    <w:uiPriority w:val="99"/>
    <w:pPr>
      <w:jc w:val="left"/>
    </w:pPr>
  </w:style>
  <w:style w:type="paragraph" w:styleId="7">
    <w:name w:val="Body Text"/>
    <w:basedOn w:val="1"/>
    <w:next w:val="8"/>
    <w:link w:val="54"/>
    <w:unhideWhenUsed/>
    <w:qFormat/>
    <w:uiPriority w:val="99"/>
    <w:pPr>
      <w:spacing w:after="120"/>
    </w:pPr>
  </w:style>
  <w:style w:type="paragraph" w:styleId="8">
    <w:name w:val="Body Text First Indent"/>
    <w:basedOn w:val="7"/>
    <w:next w:val="9"/>
    <w:qFormat/>
    <w:uiPriority w:val="0"/>
    <w:pPr>
      <w:tabs>
        <w:tab w:val="left" w:pos="9360"/>
      </w:tabs>
      <w:ind w:firstLine="420" w:firstLineChars="100"/>
    </w:pPr>
  </w:style>
  <w:style w:type="paragraph" w:styleId="9">
    <w:name w:val="toc 6"/>
    <w:basedOn w:val="1"/>
    <w:next w:val="1"/>
    <w:qFormat/>
    <w:uiPriority w:val="0"/>
    <w:pPr>
      <w:ind w:left="2100" w:leftChars="1000"/>
    </w:pPr>
  </w:style>
  <w:style w:type="paragraph" w:styleId="10">
    <w:name w:val="Body Text Indent"/>
    <w:basedOn w:val="1"/>
    <w:next w:val="1"/>
    <w:link w:val="51"/>
    <w:semiHidden/>
    <w:unhideWhenUsed/>
    <w:qFormat/>
    <w:uiPriority w:val="99"/>
    <w:pPr>
      <w:widowControl/>
      <w:spacing w:after="120"/>
      <w:ind w:left="420" w:leftChars="200"/>
      <w:jc w:val="left"/>
    </w:pPr>
    <w:rPr>
      <w:rFonts w:ascii="Times New Roman" w:hAnsi="Times New Roman"/>
      <w:kern w:val="0"/>
      <w:sz w:val="24"/>
      <w:szCs w:val="24"/>
    </w:rPr>
  </w:style>
  <w:style w:type="paragraph" w:styleId="11">
    <w:name w:val="toc 3"/>
    <w:basedOn w:val="1"/>
    <w:next w:val="1"/>
    <w:semiHidden/>
    <w:unhideWhenUsed/>
    <w:qFormat/>
    <w:uiPriority w:val="39"/>
    <w:pPr>
      <w:ind w:left="840" w:leftChars="400"/>
    </w:pPr>
  </w:style>
  <w:style w:type="paragraph" w:styleId="12">
    <w:name w:val="Plain Text"/>
    <w:basedOn w:val="1"/>
    <w:link w:val="33"/>
    <w:qFormat/>
    <w:uiPriority w:val="0"/>
    <w:rPr>
      <w:rFonts w:ascii="宋体" w:hAnsi="Courier New"/>
      <w:szCs w:val="20"/>
    </w:rPr>
  </w:style>
  <w:style w:type="paragraph" w:styleId="13">
    <w:name w:val="Date"/>
    <w:basedOn w:val="1"/>
    <w:next w:val="1"/>
    <w:link w:val="32"/>
    <w:qFormat/>
    <w:uiPriority w:val="0"/>
    <w:pPr>
      <w:widowControl/>
      <w:spacing w:before="100" w:beforeAutospacing="1" w:after="100" w:afterAutospacing="1"/>
      <w:jc w:val="left"/>
    </w:pPr>
    <w:rPr>
      <w:rFonts w:ascii="宋体" w:hAnsi="宋体"/>
      <w:kern w:val="0"/>
      <w:sz w:val="24"/>
      <w:szCs w:val="24"/>
    </w:rPr>
  </w:style>
  <w:style w:type="paragraph" w:styleId="14">
    <w:name w:val="Body Text Indent 2"/>
    <w:basedOn w:val="1"/>
    <w:link w:val="38"/>
    <w:qFormat/>
    <w:uiPriority w:val="0"/>
    <w:pPr>
      <w:spacing w:after="120" w:line="480" w:lineRule="auto"/>
      <w:ind w:left="420" w:leftChars="200"/>
    </w:pPr>
    <w:rPr>
      <w:sz w:val="24"/>
    </w:rPr>
  </w:style>
  <w:style w:type="paragraph" w:styleId="15">
    <w:name w:val="Balloon Text"/>
    <w:basedOn w:val="1"/>
    <w:link w:val="40"/>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link w:val="50"/>
    <w:qFormat/>
    <w:uiPriority w:val="0"/>
    <w:pPr>
      <w:snapToGrid w:val="0"/>
      <w:spacing w:before="240" w:after="60" w:line="360" w:lineRule="auto"/>
      <w:ind w:firstLine="480" w:firstLineChars="200"/>
      <w:jc w:val="center"/>
      <w:outlineLvl w:val="0"/>
    </w:pPr>
    <w:rPr>
      <w:rFonts w:ascii="Cambria" w:hAnsi="Cambria"/>
      <w:b/>
      <w:bCs/>
      <w:kern w:val="0"/>
      <w:sz w:val="32"/>
      <w:szCs w:val="32"/>
    </w:rPr>
  </w:style>
  <w:style w:type="paragraph" w:styleId="22">
    <w:name w:val="annotation subject"/>
    <w:basedOn w:val="6"/>
    <w:next w:val="6"/>
    <w:link w:val="42"/>
    <w:semiHidden/>
    <w:unhideWhenUsed/>
    <w:qFormat/>
    <w:uiPriority w:val="99"/>
    <w:rPr>
      <w:b/>
      <w:bCs/>
    </w:rPr>
  </w:style>
  <w:style w:type="paragraph" w:styleId="23">
    <w:name w:val="Body Text First Indent 2"/>
    <w:basedOn w:val="10"/>
    <w:link w:val="64"/>
    <w:semiHidden/>
    <w:unhideWhenUsed/>
    <w:qFormat/>
    <w:uiPriority w:val="99"/>
    <w:pPr>
      <w:widowControl w:val="0"/>
      <w:ind w:firstLine="420" w:firstLineChars="200"/>
      <w:jc w:val="both"/>
    </w:pPr>
    <w:rPr>
      <w:rFonts w:ascii="Calibri" w:hAnsi="Calibri"/>
      <w:kern w:val="2"/>
      <w:sz w:val="21"/>
      <w:szCs w:val="22"/>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unhideWhenUsed/>
    <w:qFormat/>
    <w:uiPriority w:val="99"/>
    <w:rPr>
      <w:color w:val="0000FF"/>
      <w:u w:val="single"/>
    </w:rPr>
  </w:style>
  <w:style w:type="character" w:styleId="30">
    <w:name w:val="annotation reference"/>
    <w:semiHidden/>
    <w:unhideWhenUsed/>
    <w:qFormat/>
    <w:uiPriority w:val="99"/>
    <w:rPr>
      <w:sz w:val="21"/>
      <w:szCs w:val="21"/>
    </w:rPr>
  </w:style>
  <w:style w:type="character" w:customStyle="1" w:styleId="31">
    <w:name w:val="页脚 字符"/>
    <w:link w:val="16"/>
    <w:qFormat/>
    <w:uiPriority w:val="99"/>
    <w:rPr>
      <w:rFonts w:ascii="Calibri" w:hAnsi="Calibri" w:eastAsia="宋体" w:cs="Times New Roman"/>
      <w:sz w:val="18"/>
      <w:szCs w:val="18"/>
    </w:rPr>
  </w:style>
  <w:style w:type="character" w:customStyle="1" w:styleId="32">
    <w:name w:val="日期 字符"/>
    <w:link w:val="13"/>
    <w:qFormat/>
    <w:uiPriority w:val="0"/>
    <w:rPr>
      <w:rFonts w:ascii="宋体" w:hAnsi="宋体" w:eastAsia="宋体" w:cs="Times New Roman"/>
      <w:kern w:val="0"/>
      <w:sz w:val="24"/>
      <w:szCs w:val="24"/>
    </w:rPr>
  </w:style>
  <w:style w:type="character" w:customStyle="1" w:styleId="33">
    <w:name w:val="纯文本 字符"/>
    <w:link w:val="12"/>
    <w:qFormat/>
    <w:uiPriority w:val="0"/>
    <w:rPr>
      <w:rFonts w:ascii="宋体" w:hAnsi="Courier New" w:eastAsia="宋体" w:cs="Times New Roman"/>
      <w:szCs w:val="20"/>
    </w:rPr>
  </w:style>
  <w:style w:type="paragraph" w:customStyle="1" w:styleId="34">
    <w:name w:val="样式"/>
    <w:link w:val="35"/>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35">
    <w:name w:val="样式 Char"/>
    <w:link w:val="34"/>
    <w:qFormat/>
    <w:uiPriority w:val="0"/>
    <w:rPr>
      <w:rFonts w:ascii="宋体" w:hAnsi="宋体" w:eastAsia="宋体" w:cs="Times New Roman"/>
      <w:kern w:val="0"/>
      <w:sz w:val="24"/>
      <w:szCs w:val="20"/>
    </w:rPr>
  </w:style>
  <w:style w:type="character" w:customStyle="1" w:styleId="36">
    <w:name w:val="页眉 字符"/>
    <w:link w:val="17"/>
    <w:qFormat/>
    <w:uiPriority w:val="99"/>
    <w:rPr>
      <w:rFonts w:ascii="Calibri" w:hAnsi="Calibri" w:eastAsia="宋体" w:cs="Times New Roman"/>
      <w:sz w:val="18"/>
      <w:szCs w:val="18"/>
    </w:rPr>
  </w:style>
  <w:style w:type="character" w:customStyle="1" w:styleId="37">
    <w:name w:val="标题 3 字符"/>
    <w:semiHidden/>
    <w:qFormat/>
    <w:uiPriority w:val="9"/>
    <w:rPr>
      <w:rFonts w:ascii="Calibri" w:hAnsi="Calibri" w:eastAsia="宋体" w:cs="Times New Roman"/>
      <w:b/>
      <w:bCs/>
      <w:sz w:val="32"/>
      <w:szCs w:val="32"/>
    </w:rPr>
  </w:style>
  <w:style w:type="character" w:customStyle="1" w:styleId="38">
    <w:name w:val="正文文本缩进 2 字符"/>
    <w:link w:val="14"/>
    <w:qFormat/>
    <w:uiPriority w:val="0"/>
    <w:rPr>
      <w:rFonts w:ascii="Calibri" w:hAnsi="Calibri" w:eastAsia="宋体" w:cs="Times New Roman"/>
      <w:sz w:val="24"/>
    </w:rPr>
  </w:style>
  <w:style w:type="character" w:customStyle="1" w:styleId="39">
    <w:name w:val="标题 3 字符1"/>
    <w:link w:val="4"/>
    <w:qFormat/>
    <w:uiPriority w:val="0"/>
    <w:rPr>
      <w:rFonts w:ascii="Times New Roman" w:hAnsi="Times New Roman" w:eastAsia="宋体" w:cs="Times New Roman"/>
      <w:b/>
      <w:bCs/>
      <w:sz w:val="32"/>
      <w:szCs w:val="32"/>
    </w:rPr>
  </w:style>
  <w:style w:type="character" w:customStyle="1" w:styleId="40">
    <w:name w:val="批注框文本 字符"/>
    <w:link w:val="15"/>
    <w:semiHidden/>
    <w:qFormat/>
    <w:uiPriority w:val="99"/>
    <w:rPr>
      <w:rFonts w:ascii="Calibri" w:hAnsi="Calibri" w:eastAsia="宋体" w:cs="Times New Roman"/>
      <w:sz w:val="18"/>
      <w:szCs w:val="18"/>
    </w:rPr>
  </w:style>
  <w:style w:type="character" w:customStyle="1" w:styleId="41">
    <w:name w:val="批注文字 字符"/>
    <w:link w:val="6"/>
    <w:semiHidden/>
    <w:qFormat/>
    <w:uiPriority w:val="99"/>
    <w:rPr>
      <w:rFonts w:ascii="Calibri" w:hAnsi="Calibri" w:eastAsia="宋体" w:cs="Times New Roman"/>
    </w:rPr>
  </w:style>
  <w:style w:type="character" w:customStyle="1" w:styleId="42">
    <w:name w:val="批注主题 字符"/>
    <w:link w:val="22"/>
    <w:semiHidden/>
    <w:qFormat/>
    <w:uiPriority w:val="99"/>
    <w:rPr>
      <w:rFonts w:ascii="Calibri" w:hAnsi="Calibri" w:eastAsia="宋体" w:cs="Times New Roman"/>
      <w:b/>
      <w:bCs/>
    </w:rPr>
  </w:style>
  <w:style w:type="character" w:customStyle="1" w:styleId="43">
    <w:name w:val="标题 1 字符"/>
    <w:link w:val="2"/>
    <w:qFormat/>
    <w:uiPriority w:val="9"/>
    <w:rPr>
      <w:b/>
      <w:bCs/>
      <w:kern w:val="44"/>
      <w:sz w:val="24"/>
      <w:szCs w:val="44"/>
    </w:rPr>
  </w:style>
  <w:style w:type="paragraph" w:customStyle="1" w:styleId="44">
    <w:name w:val="TOC 标题1"/>
    <w:basedOn w:val="2"/>
    <w:next w:val="1"/>
    <w:unhideWhenUsed/>
    <w:qFormat/>
    <w:uiPriority w:val="39"/>
    <w:pPr>
      <w:widowControl/>
      <w:spacing w:before="240" w:line="259" w:lineRule="auto"/>
      <w:jc w:val="left"/>
      <w:outlineLvl w:val="9"/>
    </w:pPr>
    <w:rPr>
      <w:rFonts w:ascii="Cambria" w:hAnsi="Cambria"/>
      <w:b w:val="0"/>
      <w:bCs w:val="0"/>
      <w:color w:val="365F91"/>
      <w:kern w:val="0"/>
      <w:sz w:val="32"/>
      <w:szCs w:val="32"/>
    </w:rPr>
  </w:style>
  <w:style w:type="paragraph" w:customStyle="1" w:styleId="45">
    <w:name w:val="目录 11"/>
    <w:basedOn w:val="1"/>
    <w:next w:val="1"/>
    <w:unhideWhenUsed/>
    <w:qFormat/>
    <w:uiPriority w:val="39"/>
    <w:pPr>
      <w:tabs>
        <w:tab w:val="right" w:leader="dot" w:pos="8296"/>
      </w:tabs>
    </w:pPr>
    <w:rPr>
      <w:rFonts w:ascii="华文中宋" w:hAnsi="华文中宋" w:eastAsia="华文中宋"/>
      <w:b/>
      <w:sz w:val="24"/>
      <w:szCs w:val="24"/>
    </w:rPr>
  </w:style>
  <w:style w:type="paragraph" w:customStyle="1" w:styleId="46">
    <w:name w:val="列出段落"/>
    <w:basedOn w:val="1"/>
    <w:qFormat/>
    <w:uiPriority w:val="34"/>
    <w:pPr>
      <w:ind w:firstLine="420" w:firstLineChars="200"/>
    </w:pPr>
  </w:style>
  <w:style w:type="paragraph" w:customStyle="1" w:styleId="47">
    <w:name w:val="目录 21"/>
    <w:basedOn w:val="1"/>
    <w:next w:val="1"/>
    <w:unhideWhenUsed/>
    <w:qFormat/>
    <w:uiPriority w:val="39"/>
    <w:pPr>
      <w:ind w:left="420" w:leftChars="200"/>
    </w:pPr>
  </w:style>
  <w:style w:type="paragraph" w:customStyle="1" w:styleId="48">
    <w:name w:val="纯文本1"/>
    <w:basedOn w:val="1"/>
    <w:qFormat/>
    <w:uiPriority w:val="0"/>
    <w:rPr>
      <w:rFonts w:ascii="宋体" w:hAnsi="Courier New"/>
      <w:szCs w:val="20"/>
    </w:rPr>
  </w:style>
  <w:style w:type="character" w:customStyle="1" w:styleId="49">
    <w:name w:val="标题 2 字符"/>
    <w:link w:val="3"/>
    <w:qFormat/>
    <w:uiPriority w:val="9"/>
    <w:rPr>
      <w:rFonts w:ascii="Cambria" w:hAnsi="Cambria"/>
      <w:b/>
      <w:bCs/>
      <w:sz w:val="24"/>
      <w:szCs w:val="32"/>
    </w:rPr>
  </w:style>
  <w:style w:type="character" w:customStyle="1" w:styleId="50">
    <w:name w:val="标题 字符"/>
    <w:link w:val="21"/>
    <w:qFormat/>
    <w:uiPriority w:val="0"/>
    <w:rPr>
      <w:rFonts w:ascii="Cambria" w:hAnsi="Cambria" w:eastAsia="宋体" w:cs="Times New Roman"/>
      <w:b/>
      <w:bCs/>
      <w:kern w:val="0"/>
      <w:sz w:val="32"/>
      <w:szCs w:val="32"/>
    </w:rPr>
  </w:style>
  <w:style w:type="character" w:customStyle="1" w:styleId="51">
    <w:name w:val="正文文本缩进 字符"/>
    <w:link w:val="10"/>
    <w:semiHidden/>
    <w:qFormat/>
    <w:uiPriority w:val="99"/>
    <w:rPr>
      <w:rFonts w:ascii="Times New Roman" w:hAnsi="Times New Roman" w:cs="Times New Roman"/>
      <w:kern w:val="0"/>
      <w:sz w:val="24"/>
      <w:szCs w:val="24"/>
    </w:rPr>
  </w:style>
  <w:style w:type="character" w:customStyle="1" w:styleId="52">
    <w:name w:val="正文缩进 字符"/>
    <w:link w:val="5"/>
    <w:qFormat/>
    <w:uiPriority w:val="0"/>
    <w:rPr>
      <w:rFonts w:ascii="Times New Roman" w:hAnsi="Times New Roman" w:eastAsia="宋体" w:cs="Times New Roman"/>
      <w:kern w:val="0"/>
      <w:sz w:val="24"/>
      <w:szCs w:val="20"/>
    </w:rPr>
  </w:style>
  <w:style w:type="paragraph" w:customStyle="1" w:styleId="53">
    <w:name w:val="目录 31"/>
    <w:basedOn w:val="1"/>
    <w:next w:val="1"/>
    <w:unhideWhenUsed/>
    <w:qFormat/>
    <w:uiPriority w:val="39"/>
    <w:pPr>
      <w:widowControl/>
      <w:spacing w:after="100" w:line="276" w:lineRule="auto"/>
      <w:ind w:left="440"/>
      <w:jc w:val="left"/>
    </w:pPr>
    <w:rPr>
      <w:kern w:val="0"/>
      <w:sz w:val="22"/>
    </w:rPr>
  </w:style>
  <w:style w:type="character" w:customStyle="1" w:styleId="54">
    <w:name w:val="正文文本 字符"/>
    <w:link w:val="7"/>
    <w:qFormat/>
    <w:uiPriority w:val="99"/>
    <w:rPr>
      <w:kern w:val="2"/>
      <w:sz w:val="21"/>
      <w:szCs w:val="22"/>
    </w:rPr>
  </w:style>
  <w:style w:type="paragraph" w:customStyle="1" w:styleId="55">
    <w:name w:val="正文首行缩进1"/>
    <w:basedOn w:val="7"/>
    <w:link w:val="56"/>
    <w:semiHidden/>
    <w:unhideWhenUsed/>
    <w:qFormat/>
    <w:uiPriority w:val="99"/>
    <w:pPr>
      <w:ind w:firstLine="420" w:firstLineChars="100"/>
    </w:pPr>
  </w:style>
  <w:style w:type="character" w:customStyle="1" w:styleId="56">
    <w:name w:val="正文首行缩进 Char"/>
    <w:basedOn w:val="54"/>
    <w:link w:val="55"/>
    <w:semiHidden/>
    <w:qFormat/>
    <w:uiPriority w:val="99"/>
    <w:rPr>
      <w:kern w:val="2"/>
      <w:sz w:val="21"/>
      <w:szCs w:val="22"/>
    </w:rPr>
  </w:style>
  <w:style w:type="table" w:customStyle="1" w:styleId="57">
    <w:name w:val="网格型1"/>
    <w:basedOn w:val="2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8">
    <w:name w:val="19"/>
    <w:qFormat/>
    <w:uiPriority w:val="0"/>
    <w:rPr>
      <w:rFonts w:hint="eastAsia" w:ascii="宋体" w:hAnsi="宋体" w:eastAsia="宋体"/>
      <w:color w:val="000000"/>
      <w:sz w:val="21"/>
      <w:szCs w:val="21"/>
    </w:rPr>
  </w:style>
  <w:style w:type="table" w:customStyle="1" w:styleId="5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0">
    <w:name w:val="Table Paragraph"/>
    <w:basedOn w:val="1"/>
    <w:qFormat/>
    <w:uiPriority w:val="1"/>
    <w:pPr>
      <w:autoSpaceDE w:val="0"/>
      <w:autoSpaceDN w:val="0"/>
      <w:jc w:val="left"/>
    </w:pPr>
    <w:rPr>
      <w:rFonts w:ascii="华文中宋" w:hAnsi="华文中宋" w:eastAsia="华文中宋" w:cs="华文中宋"/>
      <w:kern w:val="0"/>
      <w:sz w:val="22"/>
    </w:rPr>
  </w:style>
  <w:style w:type="paragraph" w:styleId="61">
    <w:name w:val="List Paragraph"/>
    <w:basedOn w:val="1"/>
    <w:qFormat/>
    <w:uiPriority w:val="34"/>
    <w:pPr>
      <w:ind w:firstLine="420" w:firstLineChars="200"/>
    </w:pPr>
  </w:style>
  <w:style w:type="character" w:customStyle="1" w:styleId="62">
    <w:name w:val="表格、图片 字符"/>
    <w:basedOn w:val="26"/>
    <w:link w:val="63"/>
    <w:qFormat/>
    <w:locked/>
    <w:uiPriority w:val="1"/>
    <w:rPr>
      <w:kern w:val="2"/>
      <w:sz w:val="21"/>
      <w:szCs w:val="21"/>
    </w:rPr>
  </w:style>
  <w:style w:type="paragraph" w:customStyle="1" w:styleId="63">
    <w:name w:val="表格、图片"/>
    <w:basedOn w:val="1"/>
    <w:link w:val="62"/>
    <w:qFormat/>
    <w:uiPriority w:val="1"/>
    <w:pPr>
      <w:spacing w:line="288" w:lineRule="auto"/>
      <w:jc w:val="center"/>
    </w:pPr>
    <w:rPr>
      <w:szCs w:val="21"/>
    </w:rPr>
  </w:style>
  <w:style w:type="character" w:customStyle="1" w:styleId="64">
    <w:name w:val="正文文本首行缩进 2 字符"/>
    <w:basedOn w:val="51"/>
    <w:link w:val="23"/>
    <w:semiHidden/>
    <w:qFormat/>
    <w:uiPriority w:val="99"/>
    <w:rPr>
      <w:rFonts w:ascii="Times New Roman" w:hAnsi="Times New Roman" w:cs="Times New Roman"/>
      <w:kern w:val="2"/>
      <w:sz w:val="21"/>
      <w:szCs w:val="22"/>
    </w:rPr>
  </w:style>
  <w:style w:type="paragraph" w:customStyle="1" w:styleId="65">
    <w:name w:val="修订1"/>
    <w:hidden/>
    <w:semiHidden/>
    <w:qFormat/>
    <w:uiPriority w:val="99"/>
    <w:rPr>
      <w:rFonts w:ascii="Calibri" w:hAnsi="Calibri" w:eastAsia="宋体" w:cs="Times New Roman"/>
      <w:kern w:val="2"/>
      <w:sz w:val="21"/>
      <w:szCs w:val="22"/>
      <w:lang w:val="en-US" w:eastAsia="zh-CN" w:bidi="ar-SA"/>
    </w:rPr>
  </w:style>
  <w:style w:type="paragraph" w:customStyle="1" w:styleId="66">
    <w:name w:val="样式 黑色 首行缩进:  0.85 厘米 行距: 固定值 20 磅"/>
    <w:basedOn w:val="1"/>
    <w:qFormat/>
    <w:uiPriority w:val="0"/>
    <w:pPr>
      <w:tabs>
        <w:tab w:val="left" w:pos="8789"/>
      </w:tabs>
      <w:adjustRightInd w:val="0"/>
      <w:snapToGrid w:val="0"/>
      <w:spacing w:line="360" w:lineRule="auto"/>
      <w:ind w:right="57" w:firstLine="232" w:firstLineChars="100"/>
    </w:pPr>
    <w:rPr>
      <w:rFonts w:ascii="宋体" w:hAnsi="宋体"/>
      <w:color w:val="000000"/>
      <w:spacing w:val="-4"/>
      <w:sz w:val="24"/>
    </w:rPr>
  </w:style>
  <w:style w:type="paragraph" w:customStyle="1" w:styleId="67">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888BB-793E-4190-ACEC-0972E776809A}">
  <ds:schemaRefs/>
</ds:datastoreItem>
</file>

<file path=docProps/app.xml><?xml version="1.0" encoding="utf-8"?>
<Properties xmlns="http://schemas.openxmlformats.org/officeDocument/2006/extended-properties" xmlns:vt="http://schemas.openxmlformats.org/officeDocument/2006/docPropsVTypes">
  <Template>Normal</Template>
  <Pages>22</Pages>
  <Words>4982</Words>
  <Characters>5301</Characters>
  <Lines>51</Lines>
  <Paragraphs>14</Paragraphs>
  <TotalTime>1</TotalTime>
  <ScaleCrop>false</ScaleCrop>
  <LinksUpToDate>false</LinksUpToDate>
  <CharactersWithSpaces>5823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2025-04-14T01:18:00Z</dcterms:created>
  <dc:creator>高亚楠</dc:creator>
  <cp:lastModifiedBy>AD</cp:lastModifiedBy>
  <cp:lastPrinted>2021-02-27T04:18:00Z</cp:lastPrinted>
  <dcterms:modified xsi:type="dcterms:W3CDTF">2025-11-28T15:18:19Z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eyJoZGlkIjoiM2NmMGY1M2ZjZDRjNzlmOWJmYmFiY2U4MjA2OTkzM2QiLCJ1c2VySWQiOiIyMDY4Njk4NTIifQ==</vt:lpwstr>
  </property>
  <property fmtid="{D5CDD505-2E9C-101B-9397-08002B2CF9AE}" pid="3" name="KSOProductBuildVer">
    <vt:lpwstr>2052-12.1.0.23542</vt:lpwstr>
  </property>
  <property fmtid="{D5CDD505-2E9C-101B-9397-08002B2CF9AE}" pid="4" name="ICV">
    <vt:lpwstr>D61AA234B5BE424385B5416BD6DFE380_13</vt:lpwstr>
  </property>
</Properties>
</file>